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JU10.039301 vom 13. September 2011</w:t>
      </w:r>
    </w:p>
    <w:p>
      <w:r>
        <w:t>VD Tribunal cantonal, 2011-09-13, FR</w:t>
      </w:r>
    </w:p>
    <w:p>
      <w:r>
        <w:rPr>
          <w:b/>
        </w:rPr>
        <w:t xml:space="preserve">Quelle: </w:t>
      </w:r>
      <w:r>
        <w:t>https://mcp.opencaselaw.ch/entscheid/vd_gerichte_JU10.039301</w:t>
      </w:r>
    </w:p>
    <w:p>
      <w:r>
        <w:t>FR: VD_GERICHTE JU10.039301 du 13 septembre 2011</w:t>
      </w:r>
    </w:p>
    <w:p>
      <w:r>
        <w:t>IT: VD_GERICHTE JU10.039301 del 13 settembre 2011</w:t>
      </w:r>
    </w:p>
    <w:p>
      <w:pPr>
        <w:pStyle w:val="Heading2"/>
      </w:pPr>
      <w:r>
        <w:t>Erwägungen</w:t>
      </w:r>
    </w:p>
    <w:p>
      <w:r>
        <w:rPr>
          <w:b/>
        </w:rPr>
        <w:t>E. 4</w:t>
      </w:r>
    </w:p>
    <w:p>
      <w:r>
        <w:t>Le principe et le montant de la contribution d’entretien due selon l’art. 176 al. 1 ch. 1 CC (Code civil suisse du 10 décembre 1907, RS 210) se déterminent en fonction des facultés économiques et des besoins respectifs des époux; tant que dure le mariage, chacun des conjoints a le droit de participer de la même manière au train de vie antérieur (ATF 119 II 314 c. 4b/aa; TF 5A_453/2009 du 9 novembre 2009 c. 5.2), la fixation de la contribution d'entretien ne devant pas anticiper sur la liquidation du régime matrimonial (ATF 114 II 26 c. 8). La situation d’un couple séparé, totalement désuni, doit s’apprécier en s’inspirant des principes régissant l’hypothèse d’un divorce (ATF 118 III 65 c. 4a), en particulier l’art. 125 CC. Celui-ci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(ATF 132 III 598 c. 9.1 et les références citées). Indépendamment de sa durée, un mariage a eu une influence concrète sur la situation financière de l’époux créancier lorsque le couple a eu des enfants communs (ATF 135 III 59 c. 4.1). Il n’en demeure pas moins que, tant que dure le mariage, c’est l’art. 163 aI. 1 CC qui constitue la cause de l’obligation d’entretien. Le montant de la contribution d'entretien se détermine en fonction des facultés économiques et des besoins respectifs des époux. Le législateur n'a pas arrêté de mode de calcul à cette fin (Sutter/Freiburghaus, Kommentar zum neuen Scheidungsrecht, Zurich 1999, n. 118 ad art. 125 CC, p. 290). La détermination de celle-ci relève du pouvoir d’appréciation du juge qui applique les règles du droit et de</w:t>
      </w:r>
    </w:p>
    <w:p>
      <w:r>
        <w:t>- 10 - l’équité.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 ATF 114 Il 26, JT 1991 I 334 ; implicite in ATF 127 III 289, JT 2002 I 236, relatif à la charge fiscale), à moins que des circonstances importantes ne justifient de s’en écarter (ATF 119 lI 314 c. 4 b/bb, JT 1996 I 197). Selon la jurisprudence, dans le domaine du droit de la famille, le minimum vital du débiteur de l'entretien ne doit pas être entamé (ATF 135 III 66 ; ATF 133 III 57 c. 3 et les références, JT 2007 I 351). Un partage par moitié du montant disponible, alors que les charges n'ont été prises en compte que selon les normes du minimum vital, paraît inéquitable, notamment lorsque l'époux attributaire a la charge de plusieurs enfants communs (ATF 126 III 8 c. 3c, JT 2000 I 29; Perrin, la méthode du minimum vital, in SJ 1993 pp. 425 ss, spéc. p. 447). Un simple partage par deux du solde disponible ne répondrait ni au principe d'équivalence (l'époux qui s'occupe personnellement des enfants a une prétention qui permet de prélever, pour la satisfaction des besoins familiaux, tout ce qui excède les besoins élémentaires du débiteur), ni à la lettre et à l'esprit de l'art. 164 CC - applicable en cas de vie séparée - qui parle d'un montant équitable (Perrin, ibidem; ATF 114 lI 301). En l'espèce, c'est à juste titre que le premier juge a appliqué la méthode du minimum vital avec répartition de l'excédent, méthode qui n'a du reste pas été remise en cause par les parties en appel.</w:t>
      </w:r>
    </w:p>
    <w:p>
      <w:r>
        <w:rPr>
          <w:b/>
        </w:rPr>
        <w:t>E. 5</w:t>
      </w:r>
    </w:p>
    <w:p>
      <w:r>
        <w:t>Dans un premier moyen, l'appelante conteste que l'intimé s'acquitte des primes d'assurances pour toute la famille et prétend qu'il y a lieu de retenir de ce chef uniquement un montant de 273 fr. 10 au lieu</w:t>
      </w:r>
    </w:p>
    <w:p>
      <w:r>
        <w:t>- 11 - de 849 fr. 70. Il résulte de la décision du 27 janvier 2011 de l'Organe cantonal de contrôle de l'assurance-maladie et accidents (pièces 5 et 6) que les primes de l'appelante et de ses enfants sont entièrement subsidiées. On retiendra dès lors le montant de la prime du seul intimé, qui s'élève à 293 fr. 05 pour l'année 2011 (pièce 101). Il n'y a pas lieu d'y ajouter un montant de 125 fr., correspondant à l'utilisation de la franchise, l'intimé n'établissant pas qu'il doit fréquemment recourir à son médecin. Le moyen est bien fondé à concurrence du montant retenu.</w:t>
      </w:r>
    </w:p>
    <w:p>
      <w:r>
        <w:rPr>
          <w:b/>
        </w:rPr>
        <w:t>E. 6</w:t>
      </w:r>
    </w:p>
    <w:p>
      <w:r>
        <w:t>L'appelante conteste le montant de 150 fr. intégré dans le minimum vital de l'intimé pour les frais nécessaires à l'exercice de son droit de visite; selon elle, il y aurait lieu de retenir un montant de 24 fr., correspondant aux frais de véhicule entre [...] et [...]. Ce faisant, elle méconnaît que les frais nécessaires à l'exercice du droit de visite ne comprennent pas seulement les frais de véhicule, mais tous les frais d'accueil des enfants pour le week-end. Le montant de 150 fr. peut être confirmé. L'appel est mal fondé sur ce point.</w:t>
      </w:r>
    </w:p>
    <w:p>
      <w:r>
        <w:rPr>
          <w:b/>
        </w:rPr>
        <w:t>E. 7</w:t>
      </w:r>
    </w:p>
    <w:p>
      <w:r>
        <w:t>a) L'appelante fait valoir que les charges de l'intimé figurant dans le "dossier gestion 2009" manqueraient de transparence et que l'on ne pourrait en vérifier la destination exacte. Elle soutient en outre que le revenu 2009, fixé sur la base dudit dossier, s'élèverait en moyenne mensuelle à 4'379 fr., (soit 45'206 fr. de revenu d'exploitation + 14'927 fr. de revenus privés - 7'585 fr. d'AVS de l'intimé : 12) en lieu et place des 3'634 fr. retenus par le premier juge. Au vu de l'opacité de cette comptabilité, elle soutient qu'il y a lieu de s'en tenir aux prélèvements privés pour les cinq dernières années, qui s'élèvent à 6'830 fr. en moyenne, soit 70'907 fr. en 2009, 97'780 fr. en 2008, 69'437 fr. en 2007, 83'645 fr. en 2006 et 88'023 fr. en 2005.</w:t>
      </w:r>
    </w:p>
    <w:p>
      <w:r>
        <w:t>- 12 - b) Pour les indépendants, le revenu est constitué – lorsqu'une comptabilité est tenue dans les règles – par le bénéfice net de l'exercice. En l'absence de comptabilité, il s'agit de la différence de capital propre entre deux exercices. Le juge doit s'en tenir à la vraisemblance des faits invoqués (Chaix, Commentaire romand, n. 7 ad art. 176 CC). La jurisprudence préconise de prendre en considération comme revenu effectif le bénéfice net moyen du compte d'exploitation des trois ou quatre dernières années (Bastons Buletti, L'entretien après divorce: méthodes de calcul, montant, durée et limites, SJ 2007 II 80 note infrapaginale 19; TF 5A_246/2009 du 22 mars 2010 c. 3.1., FamPra.ch 2010 p. 678; TF 5P_342/2011 du 20 décembre 2001 c. 3a). Plus les fluctuations de revenus sont importantes et les données fournies par l'intéressé sont incertaines, plus la période de comparaison doit être longue. Ce n'est que lorsque les allégations sur le montant de revenus ne sont pas vraisemblables et que les pièces produites ne sont pas convaincantes – comme par exemple lorsque les comptes de résultat manquent – qu'il convient de se fonder sur le niveau de vie des époux durant la vie commune. Les prélèvements privés constituent alors un indice permettant de déterminer ce train de vie (TF 5A_246/2009 du 22 mars 2010 c. 3.1., FamPra.ch 2010 p. 678; TF 2P. 29/2007 du 31 mai 2007 c. 2.4; Bräm, Zürcher Kommentar, n. 76 ad art. 163 CC). c) Les charges figurant dans le dossier gestion 2009 (partie B : Compte de résultat) comprennent 17'881 fr. 80 d'"autres charges spécifiques", 151'417 fr. 45 de "charges pour équipement", 11'136 fr. 85 de "charges admin., téléphone, pub" et 20'528 fr. d'"amortissement". Le premier juge a considéré que les contestations de l'appelante au sujet des charges pour travaux de tiers et pour les locations de machine, soit un montant de 151'417 fr. 45, ne sauraient être retenues; qu' en effet, il n'y a pas eu de déductions au titre de "travaux de tiers et locations de machine" en 2009, le montant mentionné par O.________ constituant en réalité les charges pour les équipements. S'agissant des autres charges spécifiques, le premier juge a concédé qu'il était vrai que l'on ignorait en quoi elles consistaient exactement, mais que la requérante, qui supportait le fardeau de la preuve, n'avait pas été en mesure d'établir que ces charges</w:t>
      </w:r>
    </w:p>
    <w:p>
      <w:r>
        <w:t>- 13 - ne correspondaient à rien de pertinent. Enfin, il n'était pas établi que les amortissements n'avaient pas été calculés conformément aux règles applicables et il n'y avait aucune raison de s'écarter de la comptabilité produite. Ces considérations peuvent être confirmées. La comptabilité produite par l'intimé a été établie par [...], comptable auprès de la Fiduciaire [...] et correspond aux réquisits d'une comptabilité tenue dans les règles. Les critiques qu'émet l'appelante à son encontre ne peuvent être retenues, même au stade de la vraisemblance. Celle-ci remet en question de manière globale les charges figurant dans cette comptabilité, sans apporter d'argument pertinent à cet égard. Elle a d'ailleurs elle- même refusé qu'une nouvelle audience soit tenue en présence du comptable [...], dont l'audition avait été requise par l'intimé. Ce dernier a donc satisfait à son obligation de renseigner au sens de l'art. 170 CC. Au demeurant, les charges figurant dans la partie B sont précisées dans la partie F (détail des charges d'exploitation), produite en appel. Il en résulte de manière claire que les "autres charges spécifiques" par 17'881 fr. 80 sont constituées de charges pour prestations de tiers. Il découle de ce qui précède que les conditions jurisprudentielles pour calculer les contributions d'entretien sur la base du niveau de vie des parties en tenant compte des prélèvements privés ne se sont pas remplies en l'espèce. L'appel doit être rejeté sur ce point. d) Au demeurant, c'est à tort que l'appelante prétend que les revenus de l'intimé, selon les comptes 2009, s'élèveraient à 4'379 francs. Il n'y a en effet pas lieu d'ajouter au revenu d'exploitation de 45'205 fr. le montant de 14'927 fr. correspondant au poste "revenus privés". Il ressort de la partie G du dossier fiscal 2009, produit en appel, que ce montant correspond aux allocations familiales versées à</w:t>
      </w:r>
    </w:p>
    <w:p>
      <w:r>
        <w:t>- 14 - concurrence de 14'920 fr., ainsi que d'autres revenus privés pour 6 fr. 50. Les allocations familiales, qui reviennent aux enfants, ne doivent pas être prises en compte dans les revenus du débiteur. Les chiffres retenus par le premier juge, qui s'est fondé sur le revenu d'exploitation, sous déduction des cotisations AVS, peuvent être confirmés. e) Le premier juge s'en est tenu à la moyenne des revenus nets des cinq dernières années, jusqu'en 2009, soit 218'092 fr., correspondant à un revenu mensuel de 3'634 francs. Ce montant n'est pas influencé de manière significative par le résultat 2010, où l'intimé a certes réalisé un revenu d'exploitation de 39'600 fr., inférieur à l'année 2009, mais un revenu fiscal d'indépendant, de 45'694 fr., équivalent à celui de l'année 2009. La somme de 218'092 fr. pour cinq ans, équivalant à un revenu mensuel moyen de 3'634 fr., doit dès lors être confirmée.</w:t>
      </w:r>
    </w:p>
    <w:p>
      <w:r>
        <w:rPr>
          <w:b/>
        </w:rPr>
        <w:t>E. 8</w:t>
      </w:r>
    </w:p>
    <w:p>
      <w:r>
        <w:t>a) L'intimé fait valoir que l'appelante est à même de réaliser un revenu propre. b) Il résulte de la jurisprudence que lorsqu’on ne peut plus sérieusement compter sur une reprise de la vie commune, le but de rendre les époux financièrement indépendants gagne en importance et il convient de se référer aux critères applicables à l’entretien après le divorce, même dans le cadre de mesures protectrices ou provisionnelles (TF 5A_205/2010 du 12 juillet 2010 précité c. 4.2.3, publié in: FamPra.ch 2010 p. 894; TF 5A_710/2009 du 22 février 2010 c. 4.1 et les références citées). Un conjoint peut ainsi se voir imputer un revenu hypothétique supérieur à celui qu'il obtient effectivement de son travail, pour autant qu'une augmentation correspondante de revenu soit effectivement possible et qu'elle puisse raisonnablement être exigée de lui. Lorsque la possibilité réelle d'obtenir un revenu supérieur n'existe pas, il faut en faire abstraction. Peu importe, en principe, la raison pour laquelle un époux renonce au revenu supérieur pris en considération : s'il s'abstient par</w:t>
      </w:r>
    </w:p>
    <w:p>
      <w:r>
        <w:t>- 15 - mauvaise volonté ou par négligence ou s'il renonce intentionnellement à réaliser un revenu suffisant pour assurer l'entretien de sa famille, le juge peut tabler sur le revenu que cet époux pourrait réaliser en faisant preuve de bonne volonté (ATF 128 III 4 c. 4 p. 5 ss; 127 III 136 c. 2a in fine p. 139). Le droit à l'entretien reste toutefois fondé sur les art. 163 ss CC (ATF 130 III 537 c. 3.2 p. 541; Gloor, in Basler Kommentar, 3ème éd., n. 10 ad art. 137 CC). Dans chaque cas concret, il s'agit d'examiner si et dans quelle mesure on peut exiger de l'épouse qu'elle prenne une activité lucrative, ou augmente celle qu'elle exerce déjà, compte tenu de son âge, de son état de santé, de sa formation et, cas échéant, du temps plus ou moins long durant lequel elle a été éloignée de la vie professionnelle (ATF 114 II 13 c. 5, ATF 114 II 301 c. 3a). S'il entend exiger de lui qu'il reprenne une activité lucrative, il doit lui accorder un délai d'adaptation approprié : l'époux doit en effet avoir suffisamment de temps pour s'adapter à sa nouvelle situation, notamment lorsqu'il doit trouver un emploi. Ce délai doit par ailleurs être fixé en fonction des circonstances concrètes du cas particulier (cf. ATF 129 III 417 c. 2; 114 II 13 c. 5; sur tous ces points, TF 5A_743/2010 du 10 février 2011 c. 4).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(TF 5C.237/2006 du 10 janvier 2007, c. 2.2; TF 5C.48/2001 du 28 août 2001 c. 4b, publié in FamPra.ch 2002, p. 145 ss, spéc. p. 148; ATF 115 II 6 c. 3c).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(TF 5A_210/2008 du 14 novembre 2008 c. 3.2, non publié in ATF 135 III 158). c) Le premier juge a retenu que l'appelante était à la recherche d'un emploi et qu'elle ne touchait en l'état aucun revenu. La</w:t>
      </w:r>
    </w:p>
    <w:p>
      <w:r>
        <w:t>- 16 - séparation ne remonte qu'à novembre 2010, de sorte que les critères applicables à l'entretien après divorce ne sont pas encore applicables. Au demeurant, le cadet des enfants - né en septembre 2002 - n'a pas encore</w:t>
      </w:r>
    </w:p>
    <w:p>
      <w:r>
        <w:rPr>
          <w:b/>
        </w:rPr>
        <w:t>E. 10</w:t>
      </w:r>
    </w:p>
    <w:p>
      <w:r>
        <w:t>Il résulte de ce qui précède que les revenus et charges des parties tels que retenus par le premier juge doivent être confirmés, à l'exception du calcul du minimum vital de O.________ et de sa fille [...] (cf supra ch. 9), ainsi que des charges d'assurance de l'intimé (cf. supra ch.</w:t>
      </w:r>
    </w:p>
    <w:p>
      <w:r>
        <w:t>- 17 - 5) qui doivent être réduites de 556 fr. 65 (849 fr. 70 – 293 fr. 05). L'excédent de l'intimé se monte ainsi à 1'530 fr. 95 (974 fr. 30 + 556 fr. 65). Il doit être entièrement alloué à l'appelante, dont le déficit est supérieur. Afin de laisser une modeste réserve au débiteur par rapport au minimum vital strict, ce montant sera arrondi à 1'500 francs.</w:t>
      </w:r>
    </w:p>
    <w:p>
      <w:r>
        <w:rPr>
          <w:b/>
        </w:rPr>
        <w:t>E. 11</w:t>
      </w:r>
    </w:p>
    <w:p>
      <w:r>
        <w:t>En conclusion, l'appel doit être partiellement admis et la décision réformée dans le sens indiqué ci-dessus. Les frais judiciaires de deuxième instance sont arrêtés à 600 fr. (art. 65 al. 2 TFJC [Tarif du 28 septembre 2010 des frais judiciaires civils, RSV 270.11.5]). Ils sont mis à la charge de l'intimé par 300 fr. et laissés à la charge de l’Etat par 300 fr., l’appelante bénéficiant de l’assistance judiciaire. L'appel étant partiellement admis, mais dans une mesure relativement modeste, les dépens de 2ème instance doivent être compensés (art. 106 al. 2 CPC).</w:t>
      </w:r>
    </w:p>
    <w:p>
      <w:r>
        <w:rPr>
          <w:b/>
        </w:rPr>
        <w:t>E. 12</w:t>
      </w:r>
    </w:p>
    <w:p>
      <w:r>
        <w:t>Le conseil de l’appelante a déposé le 12 septembre 2011 une liste d'opérations, dont il ressort qu’il a consacré six heures trente à la cause. Il y a ainsi lieu de fixer l’indemnité, au tarif horaire de 180 fr. (art. 2 RAJ [Règlement du 7 décembre 2010 sur l’assistance judiciaire en matière civile, RSV 211.02.3]), à 1'170 francs, plus 93 fr. 60 de TVA, et 46 fr. de débours. L’indemnité d’office du conseil de l’appelante, Me Marc-Aurèle Vollenweider, doit ainsi être fixée à 1'309 fr. 60, TVA et débours compris. Dans la mesure de l’art. 123 CPC, le bénéficiaire de l’assistance judiciaire est tenu au remboursement des frais judiciaires et de l’indemnité de son conseil d’office mis à la charge de l’Etat.</w:t>
      </w:r>
    </w:p>
    <w:p>
      <w:r>
        <w:t>- 18 - Par ces motifs, le juge délégué de la Cour d’appel civile du Tribunal cantonal, statuant à huis clos, prononce : I. L’appel est partiellement admis. II. Le prononcé est réformé au chiffre III de son dispositif comme il suit : III. astreint I.________ à contribuer à l'entretien des siens par le régulier versement d'une pension mensuelle, payable d'avance le premier de chaque mois en mains de O.________, d'un montant de 1'500 fr. (mille cinq cent francs), allocations familiales en sus, dès et y compris le 1er décembre 2010. Il est confirmé pour le surplus. III. Les frais judiciaires de deuxième instance, arrêtés à 600 fr. (six cents francs), sont laissés à la charge de l'Etat, par 300 fr. (trois cents francs), et mis à la charge de l'intimé I.________, par 300 fr. (trois cents francs). IV. L’indemnité d’office de Me Marc-Aurèle Vollenweider, conseil de l'appelante, est arrêtée à 1'309 fr. 60 (mille trois cent neuf francs et soixante centimes), TVA et débours compris. V. Le bénéficiaire de l’assistance judiciaire est, dans la mesure de l’art. 123 CPC, tenu au remboursement des frais judiciaires et de l’indemnité au conseil d’office mis à la charge de l’Etat.</w:t>
      </w:r>
    </w:p>
    <w:p>
      <w:r>
        <w:t>- 19 - VI. Les dépens de deuxième instance sont compensés. VII. L'arrêt motivé est exécutoire. Le juge délégué : Le greffier : Du Le dispositif de l'arrêt qui précède est communiqué par écrit aux intéressés. Le greffier : Du L'arrêt qui précède, dont la rédaction a été approuvée à huis clos, est notifié en expédition complète, par l'envoi de photocopies à : - Me Marc-Aurèle Vollenweider (pour O.________), - Me Mélanie Freymond (pour I.________).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- 20 -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