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JU10.025817 vom 23. März 2012</w:t>
      </w:r>
    </w:p>
    <w:p>
      <w:r>
        <w:t>VD Tribunal cantonal, 2012-03-23, FR</w:t>
      </w:r>
    </w:p>
    <w:p>
      <w:r>
        <w:rPr>
          <w:b/>
        </w:rPr>
        <w:t xml:space="preserve">Quelle: </w:t>
      </w:r>
      <w:r>
        <w:t>https://mcp.opencaselaw.ch/entscheid/vd_gerichte_JU10.025817</w:t>
      </w:r>
    </w:p>
    <w:p>
      <w:r>
        <w:t>FR: VD_GERICHTE JU10.025817 du 23 mars 2012</w:t>
      </w:r>
    </w:p>
    <w:p>
      <w:r>
        <w:t>IT: VD_GERICHTE JU10.025817 del 23 marzo 2012</w:t>
      </w:r>
    </w:p>
    <w:p>
      <w:pPr>
        <w:pStyle w:val="Heading2"/>
      </w:pPr>
      <w:r>
        <w:t>Erwägungen</w:t>
      </w:r>
    </w:p>
    <w:p>
      <w:r>
        <w:rPr>
          <w:b/>
        </w:rPr>
        <w:t>E. 3</w:t>
      </w:r>
    </w:p>
    <w:p>
      <w:r>
        <w:t>3.1 L'appelant invoque en premier lieu une violation des art. 125, 163 et 176 CC. Il fait valoir que, dès lors que la reprise de la vie commune est exclue, le principe de l'indépendance financière doit l'emporter. Le premier juge aurait ainsi omis d'examiner les possibilités réelles de gains de son épouse. Or celle-ci n'exerçant qu'une activité professionnelle à 20%, elle doit se voir imputer un revenu hypothétique.</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w:t>
      </w:r>
    </w:p>
    <w:p>
      <w:r>
        <w:t>- 9 - revêt pas un caractère pénal. Il s'agit simplement d'inciter la personne à réaliser le revenu qu'elle est en mesure de se procurer et – cumulativement (ATF 137 III 118 c. 2.3) – dont on peut raisonnablement exiger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4c. c. 4c/bb; 126 III 10 c. 2b). Pour arrêter le montant du salaire, le juge peut éventuellement se baser sur l'enquête suisse sur la structure des salaires, réalisés par l'Office fédérale de la statistique, ou sur d'autres sources (conventions collectives de travail; Philippe Mühlhauser, Das Lohnbuch 2010, Mindestlöhne sowie orts- und berufübliche Löhne in der Schweiz, Zurich 2010; ATF 137 III 118 c. 3.2; TF 5AY99/2011 du 26 septembre 2011 c. 7.4.1 destiné à la publication).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 le débiteur entend exiger de l'époux qu'il</w:t>
      </w:r>
    </w:p>
    <w:p>
      <w:r>
        <w:t>- 10 -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En particulier,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w:t>
      </w:r>
    </w:p>
    <w:p>
      <w:r>
        <w:rPr>
          <w:b/>
        </w:rPr>
        <w:t>E. 3.3</w:t>
      </w:r>
    </w:p>
    <w:p>
      <w:r>
        <w:t>En l'espèce, ainsi que l'a précisé l'appelant dans ses écritures, l'intimée attendait un enfant et l'accouchement devait avoir lieu courant avril 2012. Dans ces circonstances, il ne saurait être question d'imposer à l'intimée une augmentation de son taux d'activité. En principe, on ne peut exiger comme rappelé ci-dessus d'un époux la prise ou la reprise d'une activité lucrative à un taux de 50% avant que le plus jeune des enfants n'ait atteint l'âge de dix ans révolus. Quand bien même ce pourcentage ne constitue qu'une ligne directrice, il n'est pas possible,</w:t>
      </w:r>
    </w:p>
    <w:p>
      <w:r>
        <w:t>- 11 - en l'état en tout cas ni dans un avenir proche, d'imputer un revenu hypothétique à l'intimée, compte tenu du temps d'adaptation qui devrait lui être accordé, et des besoins du nouveau-né. Toutefois, l'obligation de l'appelant ne saurait subsister indéfiniment durant la séparation ou la procédure de divorce. Il s'ensuit que ce premier moyen de l'appelant doit être rejeté.</w:t>
      </w:r>
    </w:p>
    <w:p>
      <w:r>
        <w:rPr>
          <w:b/>
        </w:rPr>
        <w:t>E. 4</w:t>
      </w:r>
    </w:p>
    <w:p>
      <w:r>
        <w:t>4.1 L'appelant soutient ensuite que son épouse vit en ménage commun depuis octobre 2011 avec [...], dite relation devant engendrer à l'égard de l'intimée une responsabilité de celui-ci se substituant à la sienne.</w:t>
      </w:r>
    </w:p>
    <w:p>
      <w:r>
        <w:rPr>
          <w:b/>
        </w:rPr>
        <w:t>E. 4.2</w:t>
      </w:r>
    </w:p>
    <w:p>
      <w:r>
        <w:t>Lorsqu'il s'agit de fixer non pas une pension après divorce mais la contribution à l'entretien durant les mesures protectrices de l'union conjugale, le Tribunal fédéral examine dans quelle mesure le concubinage du crédirentier influence l'obligation d'entretien du débirentier (TF 5A_662/2011 du 18 janvier 2012 c. 2.3, destiné à la publication). Selon la doctrine et la jurisprudence, la prise en compte du concubinage dans le calcul des contributions d'entretien constitue une application du principe de l'interdiction générale de l'abus de droit. L'application de l'art. 163 CC conduit au même résultat, puisqu'il exige que les revenus réalisés par chaque époux soient pris en compte dans le calcul des contributions d'entretien, qu'il s'agisse par exemple des revenus réalisés pour la tenue du ménage ou pour l'aide dans l'entreprise du nouveau partenaire (arrêt précité, c. 2.3.1). Lorsque l'entretien ou les prestations liés au concubinage ne peuvent pas être prouvés, celui-ci influence néanmoins le calcul des contributions d'entretien, dans la mesure où la communauté formée par les concubins implique une réduction des coûts de la vie, en particulier quant aux frais du loyer et du montant mensuel de base nécessaire à chaque personne pour vivre. En application des directives relatives aux normes d'insaisissabilité, le concubinage implique le partage au prorata du loyer et du minimum vital, indépendamment de la répartition effective de ces coûts entre les</w:t>
      </w:r>
    </w:p>
    <w:p>
      <w:r>
        <w:t>- 12 - concubins. Cette répartition réduit ainsi le montant de la contribution d'entretien due par le débirentier (ibid. c. 2.3.2). En cas de concubinage qualifié, l'obligation d'entretien de l'époux tombe, dans la mesure où une telle communauté de vie offre des avantages similaires au mariage. La question déterminante n'est plus celle de l'abus de droit, mais bien celle de savoir si le crédirentier et son nouveau partenaire forment une communauté équivalente au mariage, dans laquelle ils sont prêts à se prêter assistance et soutien, de manière équivalente à l'obligation entre époux découlant de l'art. 159 CC (ibid. c. 2.3.3). Il n'est pas arbitraire, par exemple, de nier l'existence d'un concubinage qualifié, même si un enfant commun est né de la nouvelle relation, lorsque celle-ci ne dure que depuis deux ans (ibid. c. 3.4).</w:t>
      </w:r>
    </w:p>
    <w:p>
      <w:r>
        <w:rPr>
          <w:b/>
        </w:rPr>
        <w:t>E. 4.3</w:t>
      </w:r>
    </w:p>
    <w:p>
      <w:r>
        <w:t>Le premier juge a retenu que F.________ avait une charge locative de 1'500 fr. par mois et précisait qu'elle y participait à hauteur de 500 fr. par mois dès lors qu'elle partageait l'appartement avec son compagnon. Il en a tenu compte dans le calcul du minimum vital de l'intimée.</w:t>
      </w:r>
    </w:p>
    <w:p>
      <w:r>
        <w:rPr>
          <w:b/>
        </w:rPr>
        <w:t>E. 4.4</w:t>
      </w:r>
    </w:p>
    <w:p>
      <w:r>
        <w:t>En l'espèce, en dépit de la naissance d'un enfant issu de la relation de l'intimée avec [...], il est prématuré de retenir un concubinage qualifié, la vie commune avec le prénommé n'ayant débuté qu'en octobre 2011. Ainsi, en procédant à la répartition du loyer et au partage du minimum vital, le premier juge n'a pas violé le droit fédéral. Cette répartition implique pour l'intimée une réduction de ses charges incompressibles et, partant, de son déficit, qui a pour conséquence la diminution de la participation de l'appelant fondée sur la solidarité à l'égard de son épouse. Il n'en demeure pas moins que l'appelant pourra se fonder le cas échéant sur le caractère durable de ce concubinage pour solliciter ultérieurement la suppression de la contribution d'entretien. Pour le reste, l'appelant ne remet pas en cause, à juste titre, la fixation du montant de la contribution selon la méthode dite du minimum vital avec</w:t>
      </w:r>
    </w:p>
    <w:p>
      <w:r>
        <w:t>- 13 - répartition de l'excédent. Les moyens des parties étant limités par rapport aux besoins vitaux, il n'y a pas lieu de prendre en considération les postes relatifs aux impôts (ATF 127 III 289 c. 2a/bb, 126 III 353 c. 1a/aa) et à des dettes invoqués par l'appelant pour justifier de l'octroi de l'assistance judiciaire, en sorte que ces charges ne participent pas au minimum vital pour dégager le solde disponible.</w:t>
      </w:r>
    </w:p>
    <w:p>
      <w:r>
        <w:rPr>
          <w:b/>
        </w:rPr>
        <w:t>E. 5</w:t>
      </w:r>
    </w:p>
    <w:p>
      <w:r>
        <w:t>L'appelant soutient enfin que le premier juge aurait violé la maxime inquisitoire en n'instruisant pas complètement la situation financière de l'intimée. Il se plaint ainsi de l'insuffisance des renseignements concernant les revenus de l'intimée, mais à tort dès lors que des fiches de salaire de cette dernière figurent au dossier pour les montants retenus par le premier juge. Il n'y a donc aucune violation de la maxime inquisitoire. Au demeurant, il n'apparaît pas que l'appelant ait formellement contesté les montants articulés par l'intimée à l'audience, aucune réquisition n'ayant été verbalisée à celle-ci. L'appelant ne saurait se prévaloir d'une réquisition de production intervenue dans une précédente procédure de mesures protectrices de l'union conjugale (pièce 16) ni de la réquisition du 30 janvier 2012 (pièce 18) intervenue après l'audience, soit après la clôture de l'instruction.</w:t>
      </w:r>
    </w:p>
    <w:p>
      <w:r>
        <w:rPr>
          <w:b/>
        </w:rPr>
        <w:t>E. 6</w:t>
      </w:r>
    </w:p>
    <w:p>
      <w:r>
        <w:t>En définitive, les griefs concernant la contribution d'entretien arrêtée par le premier juge doivent être rejetés. Il en résulte que la conclusion principale II de l'appelant devient sans objet.</w:t>
      </w:r>
    </w:p>
    <w:p>
      <w:r>
        <w:rPr>
          <w:b/>
        </w:rPr>
        <w:t>E. 7</w:t>
      </w:r>
    </w:p>
    <w:p>
      <w:r>
        <w:t>En conclusion, l'appel d'H.________ doit être rejeté et le prononcé querellé confirmé.</w:t>
      </w:r>
    </w:p>
    <w:p>
      <w:r>
        <w:rPr>
          <w:b/>
        </w:rPr>
        <w:t>E. 8</w:t>
      </w:r>
    </w:p>
    <w:p>
      <w:r>
        <w:t>Comme l'appel était dépourvu de chances de succès, la demande d'assistance judiciaire doit être rejetée (art. 117 let. b CPC).</w:t>
      </w:r>
    </w:p>
    <w:p>
      <w:r>
        <w:t>- 14 -</w:t>
      </w:r>
    </w:p>
    <w:p>
      <w:r>
        <w:rPr>
          <w:b/>
        </w:rPr>
        <w:t>E. 9</w:t>
      </w:r>
    </w:p>
    <w:p>
      <w:r>
        <w:t>En matière de mesures protectrices de l'union conjugale, seule la première instance bénéficie de la gratuité. Les frais judiciaires de la procédure d'appel peuvent être mis à la charge d'une partie. Les frais judiciaires de l'appelant, arrêtés à 600 fr. (art. 65 al. 2 TFJC [tarif des frais judiciaires civils du 28 septembre 2010; RSV 270.11.5]) sont mis à la charge de l'appelant qui succombe (art. 106 al. 1 CPC).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H.________. V. L'arrêt motivé est exécutoire. Le juge délégué : Le greffier:</w:t>
      </w:r>
    </w:p>
    <w:p>
      <w:r>
        <w:t>- 15 - Du 26 mars 2012 Le dispositif de l'arrêt qui précède est communiqué par écrit aux intéressés. Le greffier : Du L'arrêt qui précède, dont la rédaction a été approuvée à huis clos, est notifié en expédition complète, par l'envoi de photocopies, à : - Me Sandra Genier Müller (pour H.________), - Me Flore Primault (pour F.________).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