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JU10.019425 vom 24. Juni 2011</w:t>
      </w:r>
    </w:p>
    <w:p>
      <w:r>
        <w:t>VD Tribunal cantonal, 2011-06-24, FR</w:t>
      </w:r>
    </w:p>
    <w:p>
      <w:r>
        <w:rPr>
          <w:b/>
        </w:rPr>
        <w:t xml:space="preserve">Quelle: </w:t>
      </w:r>
      <w:r>
        <w:t>https://mcp.opencaselaw.ch/entscheid/vd_gerichte_JU10.019425</w:t>
      </w:r>
    </w:p>
    <w:p>
      <w:r>
        <w:t>FR: VD_GERICHTE JU10.019425 du 24 juin 2011</w:t>
      </w:r>
    </w:p>
    <w:p>
      <w:r>
        <w:t>IT: VD_GERICHTE JU10.019425 del 24 giugno 2011</w:t>
      </w:r>
    </w:p>
    <w:p>
      <w:pPr>
        <w:pStyle w:val="Heading2"/>
      </w:pPr>
      <w:r>
        <w:t>Erwägungen</w:t>
      </w:r>
    </w:p>
    <w:p>
      <w:r>
        <w:rPr>
          <w:b/>
        </w:rPr>
        <w:t>E. 3</w:t>
      </w:r>
    </w:p>
    <w:p>
      <w:r>
        <w:t>septembre 2009 c. 5.3.2). Le principe de proportionnalité vaut aussi pour la durée des mesures. L’art. 28b CC ne prévoyant pas de limite temporelle, le juge a la faculté de décider du caractère limité ou illimité</w:t>
      </w:r>
    </w:p>
    <w:p>
      <w:r>
        <w:t>- 15 - dans le temps de celles-ci, usant en celà de son pouvoir discrétionnaire (Jeandin/ Peyrot, op. cit. , n. 17 ad art. 28b CC).</w:t>
      </w:r>
    </w:p>
    <w:p>
      <w:r>
        <w:rPr>
          <w:b/>
        </w:rPr>
        <w:t>E. 3.2</w:t>
      </w:r>
    </w:p>
    <w:p>
      <w:r>
        <w:t>Selon l’art. 172 al. 3 CC (Code civil suisse du 10 décembre 1907 ; RS 210), le juge des mesures protectrices de l’union conjugale peut, à la requête d’une partie, prendre des mesures judiciaires prévues aux art. 173 à 178 CC, ainsi qu’à l’art. 28b CC (Chaix, CR CC I, n. 11 ad art.</w:t>
      </w:r>
    </w:p>
    <w:p>
      <w:r>
        <w:t>- 12 - 173 CC). L’art. 172 al. 3 2e phr. CC prévoyant désormais l’application par analogie de l’art. 28b CC aux couples mariés, l’époux concerné peut ainsi faire appel aux moyens de protection spécifiques prévus par l’art. 28b al. 1 CC dans le cadre des mesures protectrices, sans devoir intenter une action séparée devant le juge compétent à raison de l’art. 28b CC (Jeandin/ Peyrot, op. cit, n. 8 ad art. 28b CC).</w:t>
      </w:r>
    </w:p>
    <w:p>
      <w:r>
        <w:rPr>
          <w:b/>
        </w:rPr>
        <w:t>E. 3.2.1</w:t>
      </w:r>
    </w:p>
    <w:p>
      <w:r>
        <w:t>Au stade des mesures protectrices de l’union conjugale en cas de suspension de vie commune, l’art. 176 al. 3 CC régit les relations personnelles entre un parent et ses enfants et renvoie, à cette fin, aux dispositions sur les effets de la filiation, notamment les art. 273 à 275 CC. L’art. 273 CC prévoit que le père ou la mère qui ne détient pas l’autorité parentale ou la garde, ainsi que l’enfant mineur, ont réciproquement le droit d’entretenir les relations personnelles indiquées par les circonstances (al. 1); lorsque l’exercice ou le défaut d’exercice de ce droit est préjudiciable à l’enfant, ou que d’autres motifs l’exigent, l’autorité tutélaire peut rappeler les père et mère ou l’enfant à leurs devoirs et leur donner des instructions (al. 2). Il ressort de la jurisprudence du Tribunal fédéral (TF 5A_448/2008 du 2 octobre 2008 c. 4.1) que,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131 III 209 c. 5 p. 212 et les réf. citées). Le rapport de l'enfant avec ses deux parents est essentiel et peut jouer un rôle décisif dans le processus de sa recherche d'identité (ATF 130 III 585 c. 2.2.2. p. 590 et les réf. citées). Cependant, selon l’art. 274 al. 2 CC, si de telles relations compromettent le développement de l'enfant, si les père et mère qui les entretiennent violent leurs obligations, s'ils ne se sont pas souciés sérieusement de l'enfant ou s'il existe d'autres justes motifs, le droit</w:t>
      </w:r>
    </w:p>
    <w:p>
      <w:r>
        <w:t>- 13 - d'entretenir ces relations peut leur être retiré ou refusé. Ce refus ou ce retrait ne peut être demandé que si le bien de l'enfant l'exige impérieusement et qu'il est impossible de trouver une réglementation du droit de visite qui sauvegarde ses intérêts: la disposition a pour objet de protéger l'enfant, et non de punir les parents (TF 5A_448/2008 du 2 octobre 2008 c. 4.1).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 3c p. 24; ATF 100 II 76 c. 4b p. 83 et les réf. citées). Les conflits entre les parents ne constituent pas un motif de restreindre le droit de visite: une telle limitation n'est justifiée que s'il y a lieu d'admettre au regard des circonstances que l'octroi d'un droit de visite usuel compromet le bien de l'enfant (ATF 131 III 209 c. 5 p. 212 s.). D'après la jurisprudence (TF 5A_448/2008 du 2 octobre 2008, c. 4.1),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Le retrait de tout droit à des relations personnelles constitue l'ultima ratio et ne peut être ordonné dans l'intérêt de l'enfant que si les effets négatifs des relations personnelles ne peuvent être maintenus dans des limites supportables pour l'enfant (ATF 122 III 404 c. 3b p. 407; 120 II 229 c. 3b/aa p. 233 et les réf. citées). Le refus ou le retrait du droit aux relations personnelles selon l'art. 274 al. 2 CC nécessite des indices concrets de mise en danger du bien de l'enfant (ATF 122 III 404 c. 3c p. 408). Pour fixer le droit aux relations personnelles, le juge fait usage de son pouvoir d'appréciation conformément à l’art. 4 CC (TF 5A_448/2008 du 2 octobre 2008 c. 4.1).</w:t>
      </w:r>
    </w:p>
    <w:p>
      <w:r>
        <w:t>- 14 -</w:t>
      </w:r>
    </w:p>
    <w:p>
      <w:r>
        <w:rPr>
          <w:b/>
        </w:rPr>
        <w:t>E. 3.2.2</w:t>
      </w:r>
    </w:p>
    <w:p>
      <w:r>
        <w:t>L’art. 28b al. 1 ch. 1 CC prévoit qu’en cas de violence, de menaces ou de harcèlement, le demandeur peut requérir le juge d’interdire à l’auteur de l’atteinte, en particulier de l’approcher ou d’accéder à un périmètre déterminé autour de son logement. Selon la jurisprudence du Tribunal fédéral (TF 5A_377/2009 du</w:t>
      </w:r>
    </w:p>
    <w:p>
      <w:r>
        <w:rPr>
          <w:b/>
        </w:rPr>
        <w:t>E. 3.3</w:t>
      </w:r>
    </w:p>
    <w:p>
      <w:r>
        <w:t>Le rapport du 19 novembre 2010, établi par la psychologue du Centre de consultation maltraitance familiale Les Boréales du Département psychiatrique du CHUV, contesté par l’appelant et sur lequel s’est entre autre fondé le premier juge, a certes été établi à la demande de l’intimée. Toutefois, il convient de souligner qu’il a été rédigé dans le cadre d’une consultation de la mère et ses enfants auprès du Département précité à l’instigation du Centre d’accueil Malley Prairie, dans lequel les intéressés résidaient dpuis le 17 juin 2010. Comme l’indique le préambule du rapport, il a pour finalité « d’évaluer l’état des enfants et les éventuels dommages subis ». Au vu de ses conclusions, telles que transcrites dans le prononcé attaqué, il ne fait aucun doute qu’il y a en l’occurrence des indices concrets de mise en danger du développement des enfants si ceux-ci se trouvent confrontés à leur père, fût-ce en présence d’un tiers. C’est dès lors avec raison que le premier juge a suspendu le droit de visite de l’appelant sur ses enfants et lui a interdit de s’approcher de ceux-ci dans le même périmètre que celui en faveur de son épouse. Cette dernière mesure se justifie, même si le droit de visite est suspendu, au vu de l’attitude menaçante de l’appelant à l’égard de l’intimée, contrainte de se réfugier au Centre d’accueil Malley Prairie. Les moyens de l’appelant sur ces points doivent donc être rejetés, et les suspension de son droit de visite et interdiction de périmètre maintenues. La situation pourra cas échéant être revue, lorsque le SPEA, chargé d’une expertise pédopsychiatrique, aura déposé son rapport, une prolongation de délai lui ayant été accordée jusqu’au 16 août 2011.</w:t>
      </w:r>
    </w:p>
    <w:p>
      <w:r>
        <w:rPr>
          <w:b/>
        </w:rPr>
        <w:t>E. 4</w:t>
      </w:r>
    </w:p>
    <w:p>
      <w:r>
        <w:t>4.1 L’appelant critique la contribution d’entretien fixée en sa faveur par le premier juge à 760 fr. par mois, ainsi que la durée limitée de son octroi à huit mois (c. 4.4 ci-dessous).</w:t>
      </w:r>
    </w:p>
    <w:p>
      <w:r>
        <w:t>- 16 - D’une part, il fait valoir que son minimum vital devrait être augmenté de 150 fr. par mois pour tenir compte de son droit de visite. Ce grief est sans objet, dans le mesure où l’appel doit être rejeté en ce qui concerne l’exercice de son droit de visite. D’autre part, il conteste le montant du minimum vital de l’intimée fixé par le premier juge à 6'971 fr. par mois, en relevant particulièrement deux points, soit les frais de logement (c. 4.2) et la charge fiscale (c. 4.3).</w:t>
      </w:r>
    </w:p>
    <w:p>
      <w:r>
        <w:rPr>
          <w:b/>
        </w:rPr>
        <w:t>E. 4.2</w:t>
      </w:r>
    </w:p>
    <w:p>
      <w:r>
        <w:t>Le premier juge a fixé les frais de logement à 1'700 fr. par mois. L’appelant requiert qu’ils soient réduits de 116 fr. 65 au titre de « bois de cheminée » et de 309 fr. 30 à titre de l’amortissement hypothécaire, inclus par le premier juge dans son calcul après l’avoir expressément exclu dans ses considérants. Toutefois, l’appelant ne reprend pas ce dernier élément dans le calcul du solde de l’intimée. Apparemment, le premier juge a arrêté lesdits frais en se basant sur les pièces produites par l’intimée à l’appui de l’allégué 47 de son procédé écrit du 24 janvier 2011, en y incluant effectivement l’amortissement de la dette hypothécaire. Si l’on déduit le montant de 309 fr. 30 retenu à ce titre, on parvient à un montant d’un peu moins de 1'400 fr. Quant au bois de cheminée, il est exact que la seule pièce produite à cet égard concerne une livraison intervenue en octobre 2009 pour un montant de 700 fr. et que le montant mensuel de 116 fr. 65 retenu à ce titre ne trouve aucune justification supplémentaire. Dès lors, c’est un montant de 1'300 fr. ( = 1'700 fr. – 309 fr. 30 – 116 fr. 65 en chiffre rond) qui doit en définitive être retenu au titre de frais de logement en lieu et place des 1'700 fr. retenus par le premier juge.</w:t>
      </w:r>
    </w:p>
    <w:p>
      <w:r>
        <w:rPr>
          <w:b/>
        </w:rPr>
        <w:t>E. 4.3</w:t>
      </w:r>
    </w:p>
    <w:p>
      <w:r>
        <w:t>Se référant à l’ATF 126 III 89, qui retient « la règle générale selon laquelle le versement d’un impôt n’est pas une dépense</w:t>
      </w:r>
    </w:p>
    <w:p>
      <w:r>
        <w:t>- 17 - indispensable au sens de l’art. 93 LP (loi fédérale sur la poursuite pour dettes et la faillite du 11 avril 1889 ; RS 281.1) et n’est pas pris en considération dans le calcul du minimum vital (c. 3b et les réf. citées), l’appelant est d’avis que le montant de la charge fiscale ne saurait entrer dans le calcul du minimum vital de l’intimée ; le montant de 1'015 fr. retenu par le premier juge à ce titre doit en être retranché. Il ressort de l’arrêt du Tribunal fédéral (TF 5A_383/2007 du</w:t>
      </w:r>
    </w:p>
    <w:p>
      <w:r>
        <w:rPr>
          <w:b/>
        </w:rPr>
        <w:t>E. 4.4</w:t>
      </w:r>
    </w:p>
    <w:p>
      <w:r>
        <w:t>Quant à la durée de la contribution d’entretien, l’appelant fait valoir que sa limitation ne tient pas compte du fait qu’il a renoncé à toute activité professionnelle depuis 1999 pour se consacrer à l’éducation des enfants et à l’entretien du ménage, ceci rendant difficile une reprise professionnelle, ni de son état de santé, dont la capacité de travail est réduite à néant selon les certificats et lettre de l’Office d’assurance- invalidité produits à l’appui de son appel. Admettant que l’appelant pourrait retrouver du travail et pourvoir seul à son entretien dans un avenir relativement proche, le premier juge l’a limitée à huit mois dès le 1er janvier 2011. Il sied de relever à ce propos que tant le prononcé du 15 octobre 2010, que l’arrêt sur appel du 25 février 2011, réglaient la question jusqu’au 31 décembre 2010, réservant la « nouvelle décision de mesures protectrices de l’union conjugale qui règlera la situation des parties dès le 1er janvier 2011 ». Une</w:t>
      </w:r>
    </w:p>
    <w:p>
      <w:r>
        <w:t>- 19 - telle limitation dans le temps apparaît raisonnable au vu de la situation de l’appelant. Les nouvelles pièces produites par ce dernier en annexe à son appel n’y changent rien. Ni le certificat médical du 13 avril 2011 (indiquant une incapacité de travail à 100% du 29 mars 2011 au 30 avril 2011 y compris, la situation devant être réévaluée à ce moment-là) ni celui du 18 mai 2011 (indiquant une incapacité de travail à 100% du 1er mai 2011 au 27 mai 2011 y compris, la situation devant être réévaluée à ce moment-là) n’empêchent l’appelant de mettre à profit le délai qui lui est imparti pour retrouver du travail d’ici la fin du mois d’août prochain dans la mesure où ses capacités le lui permettront. Quant à la lettre de l’Office de l’assurance-invalidité du 24 mars 2011, elle n’apporte aucun élément nouveau par rapport au degré d’invalidité constaté précédemment. L’appel doit donc être rejeté sur ce point. 5. Au vu de ce qui précède, l’appel doit être partiellement admis et le prononcé de mesures protectrices de l’union conjugale querellé réformé dans le sens du dispositif ci-dessous. 6. Aucune des parties n’obtenant entièrement gain de cause, il se justifie de partager les frais judiciaires (art. 106 al. 2 CPC). Les frais judiciaires de deuxième instance, arrêtés à 600 fr. (art. 65 al. 2 TFJC, [tarif des frais judiciaires civils du 28 septembre 2010 ; RSV 270.11.5]), sont laissés à la charge de l’Etat par 300 fr., l’appelant bénéficiant de l’assistance judiciaire (art. 122 al. 1 let. b CPC), et mis à la charge de l’intimée B.H.________ par 300 francs. Conformément à l’art. 123 al. 1 CPC, une partie est tenue de rembourser l’assistance judiciaire dès qu’elle est en mesure de le faire. Dans cette mesure, l’appelant sera tenu au remboursement des frais judiciaires et de l’indemnité de leurs conseils d’office mis à la charge de l’Etat.</w:t>
      </w:r>
    </w:p>
    <w:p>
      <w:r>
        <w:t>- 20 - L’appelant n’obtenant que partiellement gain de cause, les dépens de deuxième instance sont compensés. 7. Selon la liste des opérations produite par le conseil de l’appelant, ce dernier a consacré 9 heures et 55 minutes à l’accomplissement des opérations de la procédure d’appel. Toutefois, le Juge de céans considère le temps consacré à cet appel, tel qu’indiqué par le conseil, excessif et l’estime à 7 heures au maximum. Quant aux débours, un forfait de 50 fr. est retenu à ce titre. Le tarif horaire de l’avocat étant de 180 fr. (art. 2 al. 1 let. a RAJ [règlement du 7 décembre 2010 sur l’assistance judiciaire en matière civile] ; RSV 211.02.3), l’indemnité, due au conseil d’office de l’appelant, doit être arrêtée à 1'414 fr. 80, TVA et débours compris (([7h. x 180 fr.] + 50 fr.) + (1'310 x 8%)). Par ces motifs, le juge délégué de la Cour d’appel civile du Tribunal cantonal, statuant à huis clos, prononce : I. L’appel est partiellement admis. II. Le prononcé est réformé comme il suit au chiffre IV de son dispositif : IV. astreint B.H.________ à contribuer à l’entretien de A.H.________ par le versement d’une pension mensuelle de 1'200 fr. (mille deux cents francs), payable d’avance le premier de chaque mois à A.H.________, dès le 1er janvier 2011 et jusqu’au 31 août 2011. Le prononcé est confirmé pour le surplus.</w:t>
      </w:r>
    </w:p>
    <w:p>
      <w:r>
        <w:t>- 21 - III. Les frais judiciaires de deuxième instance, arrêtés à 600 fr. (six cents francs), sont laissés à la charge de l’Etat par 300 fr. (trois cents francs) et mis à la charge de l’intimée B.H.________ par 300 fr. (trois cents francs). IV. L’indemnité d’office de Me Sylvie Cossy, conseil de l’appelant A.H.________, est arrêtée à 1'414 fr. 80 (mille quatre cent quatorze francs et huitante centimes), TVA et débours compris. V. Le bénéficiaire de l’assistance judiciaire est, dans la mesure de l’art. 123 CPC, tenu au remboursement des frais judiciaires et de l’indemnité du conseil d’office mis à la charge de l’Etat.</w:t>
      </w:r>
    </w:p>
    <w:p>
      <w:r>
        <w:t>- 22 - VI. Les dépens de deuxième instance sont compensés. VII. L’arrêt motivé est exécutoire. Le juge délégué : La greffière : Du 28 juin 2011 Le dispositif de l'arrêt qui précède est communiqué par écrit aux intéressés. La greffière : Du L'arrêt qui précède, dont la rédaction a été approuvée à huis clos, est notifié en expédition complète, par l'envoi de photocopies à : - Me Sylvie Cossy (pour A.H.________), - Me Bertrand Gygax (pour B.H.________).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w:t>
      </w:r>
    </w:p>
    <w:p>
      <w:r>
        <w:t>- 23 -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 La greffière :</w:t>
      </w:r>
    </w:p>
    <w:p>
      <w:r>
        <w:rPr>
          <w:b/>
        </w:rPr>
        <w:t>E. 9</w:t>
      </w:r>
    </w:p>
    <w:p>
      <w:r>
        <w:t>novembre 2007 c. 2) que pour déterminer le montant de la contribution d'entretien du conjoint, respectivement des enfants, il convient, lorsque les capacités financières du débiteur sont modestes, de prendre comme point de départ son minimum vital au sens du droit des poursuites (ci- après: minimum vital LP; cf. à propos de la contribution du conjoint: ATF 127 III 289 c. 2a/bb p. 292; concernant la contribution des enfants: ATF 127 III 68 c. 2c p. 70 s.; ATF 126 III 353 c. 1a/aa p. 356). Or, celui-ci ne comprend pas les impôts (ATF 126 III 89 c. 3b p. 93 et les arrêts cités; arrêt 7B.221/2003 du 17 novembre 2003, c. 3.1; lignes directrices pour le calcul du minimum d'existence en matière de poursuite selon l'article 93 LP établies par la Conférence des préposés aux poursuites et faillites de Suisse du 24 novembre 2000, BlSchk 2001, p. 19 ss, ch. III p. 21). Si les moyens financiers du débiteur sont suffisants, son minimum vital LP pourra être augmenté de certains montants, dont les impôts; mais s'ils sont insuffisants, il faut partir de son minimum vital LP, sans prendre en considération la charge fiscale (ATF127 III 289 ; ATF 126 III 353 précités). Ces principes s'appliquent aussi en mesures provisionnelles (arrêts 5P.269/2004 du 3 novembre 2004, c. 3.5; 5P.121/2002 du 12 juin 2002, c. 3.2, résumé in FamPra.ch 2002 p. 832). Au vu de cette jurisprudence, le grief de l’appelant apparaît fondé. En effet, en matière de mesures protectrices de l’union conjugale, la charge fiscale ne doit pas être prise en compte, sauf dans des situations très favorables. On ne se trouve pas ici dans une telle situation, de sorte que c’est à tort que le montant précité – au demeurant non documenté – se trouve inclus dans le minimum vital de l’intimée tel que déterminé par le premier juge. On relèvera du reste que dans le précédent prononcé de</w:t>
      </w:r>
    </w:p>
    <w:p>
      <w:r>
        <w:t>- 18 - mesures protectrices de l’union conjugale du 10 octobre 2010, ainsi que dans l’arrêt sur appel du 25 février 2011, cet élément n’est pas pris en compte dans le minimum vital de l’intimée. En reprenant les autres postes retenus par le premier juge pour calculer le minimum vital de l’intimée, on parvient à un total de 5'556 fr. (1'350 fr. + 1'000 fr. + 467 fr. + 93 fr. + 416 fr. + 195 fr. + 735 fr. + 1'300 fr.), représentant un excédent de 2'535 fr. (8'091 fr. – 5'556 fr.) pour cette dernière. Toutefois, l’appelant retient quant à lui un miminum vital de 5'840 fr. et un excédent de 2'251 fr. On s’en tiendra dès lors à ce dernier chiffre pour calculer le montant de la pension. A cet égard, il n’y a aucune raison de s’écarter de la répartition du disponible 30% - 70%, telle qu’appliquée par les deux instances dans la précédente procédure de mesures protectrices de l’union conjugale. Ainsi, ce calcul s’établit de la manière suivante : 2'251 fr. – 759 fr. = 1'492 fr. de disponible; 1'492 fr. x 30/100 = 447 fr. 60 ; 447 fr. + 759 fr = 1'206 fr. 60, que l’on peut arrondir à 1'200 fr. par mois, à titre de contribution d’entretien à verser par l’intimée en faveur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