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JU10.019404 vom 3. Juli 2015</w:t>
      </w:r>
    </w:p>
    <w:p>
      <w:r>
        <w:t>VD Tribunal cantonal, 2015-07-03, FR</w:t>
      </w:r>
    </w:p>
    <w:p>
      <w:r>
        <w:rPr>
          <w:b/>
        </w:rPr>
        <w:t xml:space="preserve">Quelle: </w:t>
      </w:r>
      <w:r>
        <w:t>https://mcp.opencaselaw.ch/entscheid/vd_gerichte_JU10.019404</w:t>
      </w:r>
    </w:p>
    <w:p>
      <w:r>
        <w:t>FR: VD_GERICHTE JU10.019404 du 3 juillet 2015</w:t>
      </w:r>
    </w:p>
    <w:p>
      <w:r>
        <w:t>IT: VD_GERICHTE JU10.019404 del 3 luglio 2015</w:t>
      </w:r>
    </w:p>
    <w:p>
      <w:pPr>
        <w:pStyle w:val="Heading2"/>
      </w:pPr>
      <w:r>
        <w:t>Erwägungen</w:t>
      </w:r>
    </w:p>
    <w:p>
      <w:r>
        <w:rPr>
          <w:b/>
        </w:rPr>
        <w:t>E. 1</w:t>
      </w:r>
    </w:p>
    <w:p>
      <w:r>
        <w:t>Par prononcé du 22 juin 2010, le Bureau de l'assistance judiciaire a accordé à [...] le bénéfice de l’assistance judiciaire avec effet au 16 juin 2010 dans la cause en divorce l’opposant à [...]. Le bénéfice de l’assistance judiciaire lui a notamment été accordé dans la mesure de l’assistance d’un avocat d’office en la personne de T.________, avocate à Lausanne.</w:t>
      </w:r>
    </w:p>
    <w:p>
      <w:r>
        <w:rPr>
          <w:b/>
        </w:rPr>
        <w:t>E. 2</w:t>
      </w:r>
    </w:p>
    <w:p>
      <w:r>
        <w:t>a) Le recours est recevable pour violation du droit et constatation manifestement inexacte des faits (art. 320 CPC). L'autorité de recours dispose d'un plein pouvoir d'examen s’agissant de la violation du droit (Spühler, Basler Kommentar, Schweizerische Zivilprozessordnung, 2e éd., Bâle 2013, n. 1 ad art. 320 CPC). Elle revoit librement les questions de droit soulevées par le recourant et peut substituer ses propres motifs à ceux de l'autorité précédente ou du recourant (Hohl, Procédure civile, tome II, 2e éd., Berne 2010,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alii, Commentaire de la LTF, Berne 2014, n. 27 ss ad art. 97 LTF). Le recours déploie avant tout un effet cassatoire. Toutefois, lorsque l’instance supérieure admet le recours et constate que la cause est en état d’être jugée, elle rend une nouvelle décision (art. 327 al. 3 let. b CPC). Dans ce cas, le recours déploie un effet réformatoire (Jeandin, CPC commenté, op. cit., n. 6 ad art. 327 CPC). b) Les conclusions, les allégations de faits et les preuves nouvelles sont irrecevables (art. 326 al. 1 CPC). En l'espèce, la pièce no 3, en tant qu’elle ne figure pas au dossier de première instance, est ainsi irrecevable.</w:t>
      </w:r>
    </w:p>
    <w:p>
      <w:r>
        <w:t>- 5 -</w:t>
      </w:r>
    </w:p>
    <w:p>
      <w:r>
        <w:rPr>
          <w:b/>
        </w:rPr>
        <w:t>E. 3</w:t>
      </w:r>
    </w:p>
    <w:p>
      <w:r>
        <w:t>La recourante se plaint d’une violation de son droit d’être entendue, faisant valoir à cet égard que le premier juge n’aurait pas cité les postes qui justifiaient une réévaluation, ni exposé la motivation de la réduction, de sorte qu’il lui était impossible d’attaquer la décision en connaissance de cause. Elle apporte ensuite des précisions au sujet de la cause et sa note d’honoraires. b) 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 Basler Kommentar, op. cit., n. 5 à 7 ad art. 122 CPC, pp. 683-684). Pour fixer la quotité de l’indemnité du conseil d’office, l’autorité cantonale doit s’inspirer des critères applicables à la modération des honoraires d’avocat (Donzallaz, Loi sur le Tribunal fédéral, Commentaire, Berne 2008, n. 1775 ad art. 64 LTF; ATF 122 l 1 c. 3a). Dans le canton de Vaud, l’art. 2 al. 1 RAJ (règlement sur l'assistance judiciaire en matière civile,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117 la 22 c. 4c et les réf. cit.). Cependant, le temps consacré à la défense des intérêts du client et les actes effectués ne peuvent être pris en considération sans distinction. Ainsi, le juge peut d’une part revoir le temps de travail allégué par l’avocat, s’il l’estime exagéré en tenant</w:t>
      </w:r>
    </w:p>
    <w:p>
      <w:r>
        <w:t>- 6 - compte des caractéristiques concrètes de l’affaire, et ne pas rétribuer ce qui ne s’inscrit pas raisonnablement dans le cadre de l’accomplissement de sa tâche ; d’autre part, il peut également refuser d’indemniser le conseil pour des opérations qu’il estime inutiles ou superflues (CREC 2 juin 2015/208 c. 3b/ba). b) Le droit d’être entendu est une garantie constitutionnelle (art. 29 al. 2 Cst.) de nature formelle, dont la violation entraîne l’annulation de la décision attaquée sans égard aux chances de succès du recours sur le fond (ATF 127 V 431 c. 3d/aa). Ce moyen doit par conséquent être examiné en premier lieu (ATF 124 I 49 ; SJ 1998 403) et avec un plein pouvoir d’examen (ATF 127 III 193 c. 3 et la jurisprudence citée).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133 I 270 c. 3.1, JT 2011 IV 3; ATF 130 lI 530 c. 4.3). L'autorité n'a pas l'obligation d'exposer et de discuter tous les faits, moyens de preuve et griefs invoqués par les parties, mais elle peut au contraire se limiter à ceux qui, sans arbitraire, lui paraissent pertinents (ATF 133 I 270 c. 3.1; ATF 126 I 97 c. 2b). Lorsque l'autorité fixe l’indemnité due à un conseil d’office en statuant sur la base d'une liste de frais, elle doit alors exposer brièvement, si elle entend s'en écarter, les motifs pour lesquels elle tient certaines prétentions pour injustifiées afin que son destinataire puisse attaquer la décision à bon escient (TF 5D_28/2014 du 26 mai 2014 c. 2.2; TF 5A_39/2014 du 12 mai 2014 c. 4.2).</w:t>
      </w:r>
    </w:p>
    <w:p>
      <w:r>
        <w:t>- 7 - Ce vice découlant de la violation du droit d’être entendu ne peut être réparé devant la Chambre des recours civile, dès lors qu’elle ne dispose pas du même pouvoir de cognition que le premier juge et qu’elle ne peut revoir les faits que sous l’angle de l’arbitraire (cf. art. 320 let. b CPC; CREC 10 décembre 2014/435 c. 3b). c) En l’espèce, le premier juge n’a pas désigné les opérations concernées par sa réévaluation et n’a pas exposé, même brièvement, les motifs pour lesquels il a tenu certaines prétentions pour injustifiées. Il y a ainsi lieu d’admettre que le premier juge, par son manque de motivation, a empêché sa destinataire d’attaquer le prononcé à bon escient. Cette violation du droit d’être entendue de la recourante ne peut être réparée devant l’autorité de recours, en raison de son pouvoir de cognition restreint. Au surplus, la recourante doit pouvoir bénéficier de la double instance et les premiers juges sont les mieux placés pour apprécier le temps nécessaire à l’accomplissement du mandat d’office.</w:t>
      </w:r>
    </w:p>
    <w:p>
      <w:r>
        <w:rPr>
          <w:b/>
        </w:rPr>
        <w:t>E. 4</w:t>
      </w:r>
    </w:p>
    <w:p>
      <w:r>
        <w:t>Au vu de ce qui précède, le recours doit être admis, le prononcé annulé au chiffre I de son dispositif et la cause renvoyée au Président du Tribunal civil de l’arrondissement de Lausanne pour nouvelle décision dans le sens des considérants. Dans la mesure où les frais judiciaires de deuxième instance, arrêtés à 100 fr. (art. 69 al. 3 TFJC [tarif des frais judiciaires civils du 28 septembre 2010 ; RSV 270.11.5]), ne sont pas imputables à la recourante, ils seront mis à la charge de l’Etat (art. 107 al. 2 CPC). Il n’y a pas matière à l’allocation de dépens, puisque l’on ne saurait ici considérer l’Etat comme une partie adverse (Tappy, op. cit., n. 34 ad art. 107 CPC, p. 426). Par ces motifs,</w:t>
      </w:r>
    </w:p>
    <w:p>
      <w:r>
        <w:t>- 8 - la Chambre des recours civile du Tribunal cantonal, prononce : I. Le recours est admis. II. Le prononcé est annulé au chiffre I de son dispositif et la cause est renvoyée au Président du Tribunal civil de l’arrondissement de Lausanne pour statuer à nouveau dans le sens des considérants. III. Les frais judiciaires de deuxième instance, arrêtés à 100 fr. (cent francs), sont laissés à la charge de l’Etat. IV. L’arrêt motivé est exécutoire. Le président : La greffière : Du 6 juillet 2015 Le dispositif de l'arrêt qui précède est communiqué par écrit aux intéressés. La greffière : Du L'arrêt qui précède, dont la rédaction a été approuvée à huis clos, est notifié en expédition complète, par l'envoi de photocopies, à : - Me T.________, - Mme [...].</w:t>
      </w:r>
    </w:p>
    <w:p>
      <w:r>
        <w:t>- 9 -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