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JU09.039155 vom 25. November 2011</w:t>
      </w:r>
    </w:p>
    <w:p>
      <w:r>
        <w:t>VD Tribunal cantonal, 2011-11-25, FR</w:t>
      </w:r>
    </w:p>
    <w:p>
      <w:r>
        <w:rPr>
          <w:b/>
        </w:rPr>
        <w:t xml:space="preserve">Quelle: </w:t>
      </w:r>
      <w:r>
        <w:t>https://mcp.opencaselaw.ch/entscheid/vd_gerichte_JU09.039155</w:t>
      </w:r>
    </w:p>
    <w:p>
      <w:r>
        <w:t>FR: VD_GERICHTE JU09.039155 du 25 novembre 2011</w:t>
      </w:r>
    </w:p>
    <w:p>
      <w:r>
        <w:t>IT: VD_GERICHTE JU09.039155 del 25 novembre 2011</w:t>
      </w:r>
    </w:p>
    <w:p>
      <w:pPr>
        <w:pStyle w:val="Heading2"/>
      </w:pPr>
      <w:r>
        <w:t>Erwägungen</w:t>
      </w:r>
    </w:p>
    <w:p>
      <w:r>
        <w:rPr>
          <w:b/>
        </w:rPr>
        <w:t>E. 3</w:t>
      </w:r>
    </w:p>
    <w:p>
      <w:r>
        <w:t>a) L’appelant fait valoir ses qualités de père et soutient qu’il est dans l’intérêt de ses enfants que celles-ci soient reconnues par la justice. Il prétend en substance que le droit de visite, même élargi tel que l’a prévu le premier juge, nuirait au développement harmonieux des enfants des points de vue affectif, psychique, moral et intellectuel, ceux-là ne pouvant améliorer les relations entretenues avec leur père. Il conclut ainsi à la mise sur pied d’une garde alternée durant la litispendance, subsidairement à l’attribution de la garde en sa faveur. b) aa)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Il peut notamment confier l'autorité</w:t>
      </w:r>
    </w:p>
    <w:p>
      <w:r>
        <w:t>- 9 - parentale à un seul des parents (art. 297 al. 2 CC) ou, à plus forte raison, lui attribuer la garde des enfants. Les principes posés par la jurisprudence et la doctrine en matière de divorce sont applicables par analogie (Chaix, Commentaire Romand, n. 19 ad art. 176 CC ; Bräm, Commentaire zurichois, n. 89 et 101 ad art. 176 CC cité in TF 5A_693/2007 du 18 février 2008).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117 II 353 c. 3 ; ATF 115 II 206 c. 4a ; ATF 115 II 317 c. 2 ; ATF 114 II 200 c. 5 ; ATF 112 II 381 c. 3 ; cf. aussi FamPra.ch 4/2008, n. 104, p. 98 ; TF 5A_181/2008 du 25 avril 2008 ; FamPra.ch 1/2006, n. 20, p. 193 ; TF 5C.238/2005 du 2 novembre 2005). La garde alternée suppose une volonté conjointe des parents impliquant leur accord sur le principe et les modalités de la garde. En outre, cette garde doit être compatible avec le bien des enfants (sur ce point notamment Berger, in JT 2002 I 150 ; TF 5P.345/2005 du 23 décembre 2005 c. 3.3 ; Chaix, op. cit., n. 19 ad art. 176 CC). bb) Selon la jurisprudence antérieure au CPC, une modification des mesures provisionnelles en matière matrimoniale, respectivement des mesures protectrices de l’union conjugale, peut être demandée en tout temps si, depuis l'entrée en vigueur de celles-ci, les circonstances de fait</w:t>
      </w:r>
    </w:p>
    <w:p>
      <w:r>
        <w:t>- 10 - ont changé d'une manière essentielle et durable ou si le juge, lorsqu'il a ordonné les mesures dont la modification est sollicitée, a ignoré des éléments essentiels ou a mal apprécié les circonstances (TF 5A_502/2010 du 25 juillet 2011 c. 3.2.2, in FamPra.ch 2011, n. 67, p. 996 ; TF 5P.114/2006 du 12 mars 2007 c. 2). Cette jurisprudence conserve sa portée sous l'égide du CPC (cf. Kobel, Kommentar zur Schweizerischen Zivilprozessordnung, Zurich Bâle Genève 2010, nn. 34 et 35 ad art. 276 CPC). c) Dans son arrêt rendu le 23 mars 2011, le Juge délégué de la Cour d’appel civile a motivé sa position sur la question de la garde des enfants D.________ et E.________ comme il suit : « En l'espèce, la garde alternée fut la première solution envisagée par le couple, pour autant que l’appelant trouve un appartement pour accueillir ses enfants, conformément à la convention de mesures protectrices d'union conjugale passée le 22 mars 2010. Toutefois, cette garde n’ayant jamais fonctionné et, depuis les vacances d’août 2010, l’appelant n’ayant plus du tout exercé un quelconque droit de visite, l'intimée s'y est opposé à l'audience tenue devant le premier juge, le 12 janvier 2011. De plus, l’appelant ne la conçoit qu’à titre subsidiaire. Dès lors, au vu des tensions entre époux et du désaccord de la mère, une garde alternée n’entre pas en ligne de compte. Elle ne pourrait être que préjudiciable à l’intérêt des enfants, qui ont besoin de stabilité, ainsi que d’être soustraits autant que possible du conflit conjugal. Pour ce qui concerne l'attribution des enfants à l'un ou l'autre des parents, il convient de relever que les enfants du couple sont de jeunes enfants âgés de 7 et 4 ans. Ils ont besoin de soins particuliers et d’une présence constante et régulière d’un adulte. L'intimée recherchait un emploi à 50%, et a trouvé une activité professionnelle temporaire en qualité d'éducatrice auxiliaire pour quatre mois depuis le 31 janvier 2011. L'intimée n’entend pas, vu les circonstances, dépasser un taux d’activité de 50 %. Cette disponibilité, l’appelant ne peut l’offrir compte tenu de son travail, qu’il a certes réduit, mais qui l’occupe à 80 %. La disponibilité de la mère est meilleure que celle du père. L’intimée n’a</w:t>
      </w:r>
    </w:p>
    <w:p>
      <w:r>
        <w:t>- 11 - jamais démérité dans son rôle de mère, ce qu'a tenté d'infirmer l'appelant en produisant, à l'appui de son appel, un courrier du 18 mars 2010 écrit par le juriste de la Direction de la sécurité publique et des sports. Cependant, aucun élément pertinent, pour l'attribution des enfants, ne ressort de cette pièce. L'intimée assume seule l’éducation des enfants, dès lors que l’époux a désinvesti son rôle de père durant plusieurs mois, n'ayant pu avoir les enfants auprès de lui comme il le souhaitait. Les capacités éducatives de la mère sont dès lors à son avantage. De plus, les enfants ont toujours vécu avec leur mère depuis la séparation. Il serait par conséquent préjudiciable à leur intérêt de confier la garde à l'appelant, qui ne leur a guère consacré de temps, si ce n'est de façon irrégulière. Certes, les relations entre le père et les enfants reprennent actuellement, mais ce fait ne peut combler les carences avérées du père des derniers mois, comme l’a justement retenu le premier juge. En conclusion, le juge de céans constate que le premier juge a, à juste titre, confié la garde des enfants mineurs à l’intimée et prévu un droit de visite usuel et élargi à l’appelant ». Dans le prononcé attaqué rendu le 22 septembre 2011, le premier juge a considéré que la garde alternée supposait une volonté conjointe des deux parents impliquant leur accord sur le principe et les modalités de la garde et que cette condition n’était pas remplie en l’espèce, de sorte qu’il fallait attribuer la garde exclusive à l’un des parents. Il a alors estimé que les enfants, qui étaient encore jeunes, avaient besoin de stabilité et que, compte tenu de la nécessité de ne pas séparer la fratrie, de leur âge et du fait qu’ils avaient toujours vécu auprès de leur mère, il se justifiait de confier le droit de garde à leur mère, d’autant plus que le recourant n’avait vu ses enfants que de manière sporadique au cours des derniers mois alors qu’un large droit de visite lui avait pourtant été octroyé. Le premier juge a relevé de surcroît qu’il était important pour l’équilibre des enfants que ceux-ci aient un point d’ancrage bien défini, un endroit leur procurant une stabilité, élément essentiel dans le développement harmonieux de tout enfant, mais qu’il était opportun également de prévoir un large libre et large droit de visite en faveur du père.</w:t>
      </w:r>
    </w:p>
    <w:p>
      <w:r>
        <w:t>- 12 - Les circonstances de fait étant, pour l’essentiel, les mêmes que celles qui prévalaient au moment où l’arrêt du Juge délégué a été rendu, soit en mars 2011, c’est à juste titre que le premier juge a rejeté la requête de l’appelant tendant à la mise sur pied d’une garde alternée ou à l’attribution de la garde en sa faveur. Ce faisant, les éléments au dossier ont été correctement appréciés. Aucun élément nouveau ne justifie en effet un changement de garde. Le seul fait que le recourant a réduit dans l’intervalle son taux d’activité de 80 % à 60 % ne saurait en particulier suffire à justifier un changement de garde, d’autant moins que les enfants ont un besoin évident de stabilité. Pour le reste, on relèvera que l’appelant reprend rigoureusement la même argumentation que celle développée dans son précédent appel et sur laquelle le Juge délégué s’est déjà prononcé. En particulier, il doit être rappelé qu’une garde alternée ne saurait être instaurée lorsqu’elle ne repose pas sur une volonté commune des deux parents. Il découle de ce qui précède que le moyen de l’appelant doit être rejeté.</w:t>
      </w:r>
    </w:p>
    <w:p>
      <w:r>
        <w:rPr>
          <w:b/>
        </w:rPr>
        <w:t>E. 4</w:t>
      </w:r>
    </w:p>
    <w:p>
      <w:r>
        <w:t>En conclusion, l’appel doit être rejeté, en application de l’art. 312 al. 1 CPC, et le prononcé confirmé. Les frais judiciaires de deuxième instance, arrêtés à 600 fr. (art. 65 al. 2 TFJC [Tarif des frais judiciaires civils du 28 septembre 2010, RSV 270.11.5]), sont mis à la charge de l’appelant. Il n’y a pas matière à l’allocation de dépens de deuxième instance, l’intimée n’ayant pas été invitée à se déterminer.</w:t>
      </w:r>
    </w:p>
    <w:p>
      <w:r>
        <w:t>- 13 -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A.B.________. IV. Il n’est pas alloué de dépens de deuxième instance. V. L’arrêt motivé est exécutoire. Le juge délégué : Le greffier :</w:t>
      </w:r>
    </w:p>
    <w:p>
      <w:r>
        <w:t>- 14 - Du 29 novembre 2011 Le dispositif de l'arrêt qui précède est communiqué par écrit aux intéressés. Le greffier : Du L'arrêt qui précède, dont la rédaction a été approuvée à huis clos, est notifié en expédition complète, par l'envoi de photocopies, à : - M. A.B.________ - Me Nadia Calabria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