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JS25.019421 vom 26. Januar 2026</w:t>
      </w:r>
    </w:p>
    <w:p>
      <w:r>
        <w:t>VD Tribunal cantonal, 2026-01-26, FR</w:t>
      </w:r>
    </w:p>
    <w:p>
      <w:r>
        <w:rPr>
          <w:b/>
        </w:rPr>
        <w:t xml:space="preserve">Quelle: </w:t>
      </w:r>
      <w:r>
        <w:t>https://mcp.opencaselaw.ch/entscheid/vd_gerichte_JS25.019421</w:t>
      </w:r>
    </w:p>
    <w:p>
      <w:r>
        <w:t>FR: VD_GERICHTE JS25.019421 du 26 janvier 2026</w:t>
      </w:r>
    </w:p>
    <w:p>
      <w:r>
        <w:t>IT: VD_GERICHTE JS25.019421 del 26 gennaio 2026</w:t>
      </w:r>
    </w:p>
    <w:p>
      <w:pPr>
        <w:pStyle w:val="Heading2"/>
      </w:pPr>
      <w:r>
        <w:t>Erwägungen</w:t>
      </w:r>
    </w:p>
    <w:p>
      <w:r>
        <w:rPr>
          <w:b/>
        </w:rPr>
        <w:t>E. 1</w:t>
      </w:r>
    </w:p>
    <w:p>
      <w:r>
        <w:t>Par ordonnance de mesures protectrices de l’union conjugale du 17 décembre 2025, le Président du Tribunal civil de l’arrondissement de La Côte (ci-après : le président) a attribué la jouissance du domicile conjugal, [....], à C.________, à charge pour elle d'en payer les intérêts hypothécaires et toutes les charges (I), a imparti à E.________ un délai de trois mois dès notification de la décision, pour quitter le domicile conjugal en emportant avec lui ses effets personnels et de quoi se reloger sommairement (II), a dit qu’E.________ contribuerait à l'entretien de son épouse C.________, par le régulier versement d'une pension payable d'avance le premier de chaque mois en mains de la bénéficiaire, d'un montant de 4'910 fr. dès et y compris le premier jour où E.________ quitterait le domicile familial, si cela est avant le 1er jour du quatrième mois suivant la notification de l’ordonnance, en tous les cas 2'450 fr. dès et y compris le premier jour du quatrième mois suivant la notification de la décision (III), a dit que la décision était rendue sans frais judiciaires ni dépens (IV) et a rejeté toutes autres ou plus amples conclusions (V).</w:t>
      </w:r>
    </w:p>
    <w:p>
      <w:r>
        <w:rPr>
          <w:b/>
        </w:rPr>
        <w:t>E. 2</w:t>
      </w:r>
    </w:p>
    <w:p>
      <w:r>
        <w:t>Par acte du 19 janvier 2026, E.________ (ci-après : l’appelant) a interjeté appel contre cette ordonnance, en concluant notamment à sa réforme en ce sens que le logement conjugal, [....], lui soit attribué, ainsi que le mobilier le garnissant, à charge pour lui d’en supporter les charges courantes. A titre préalable, il a requis l’octroi de l’effet suspensif, tendant à la suspension de l’exécution des chiffres I et II du dispositif de l’ordonnance. Le 23 janvier 2026, C.________ (ci-après : l’intimée) a conclu, avec suite de frais, au rejet de la requête d’effet suspensif.</w:t>
      </w:r>
    </w:p>
    <w:p>
      <w:r>
        <w:rPr>
          <w:b/>
        </w:rPr>
        <w:t>E. 3.1.1</w:t>
      </w:r>
    </w:p>
    <w:p>
      <w:r>
        <w:t>Selon l’art. 315 al. 2 let. b CPC (Code de procédure civile du 19 décembre 2008 ; RS 272), l’appel n’a pas d’effet suspensif lorsqu’il a 19J120</w:t>
      </w:r>
    </w:p>
    <w:p>
      <w:r>
        <w:t>- 3 - pour objet des décisions portant sur des mesures provisionnelles. L’exécution des mesures provisionnelles peut, sur demande, exceptionnellement être suspendue si la partie concernée risque de subir un préjudice difficilement réparable, conformément à l’art. 315 al. 4 let. b CPC. Saisie d'une demande d'effet suspensif, l'autorité d’appel doit faire preuve de retenue et ne modifier la décision de première instance que dans des cas exceptionnels ; elle doit procéder à une pesée de divers intérêts en jeu, à savoir l’intérêt public ou privé à ce que la décision puisse être exécutée immédiatement et l’intérêt au maintien du régime antérieur (ATF 143 III 193 consid. 4 ; TF 5A_752/2023 du 24 janvier 2024 consid. 5.3.1) et dispose d'un large pouvoir d'appréciation permettant de tenir compte des circonstances concrètes du cas d'espèce (ATF 138 III 565 consid. 4.3.1, JdT 2015 II 408 ; ATF 138 III 378 consid. 6.3 ; TF 5A_223/2022 du 29 août 2022 consid. 3.1.1).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 TF 5A_223/2022 du 29 août 2022 consid. 3.1.1).</w:t>
      </w:r>
    </w:p>
    <w:p>
      <w:r>
        <w:rPr>
          <w:b/>
        </w:rPr>
        <w:t>E. 3.1.2</w:t>
      </w:r>
    </w:p>
    <w:p>
      <w:r>
        <w:t>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19J120</w:t>
      </w:r>
    </w:p>
    <w:p>
      <w:r>
        <w:t>- 4 -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 l'intérêt professionnel d'un époux, qui, par exemple, exerce sa profession dans l'immeuble, ou encore l'intérêt d'un époux à pouvoir rester dans l'immeuble qui a été aménagé spécialement en fonction de son état de santé (TF 5A_524/2017 du 9 octobre 2017 consid. 6.1 et les réf. citées).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(TF 5A_524/2017 précité).</w:t>
      </w:r>
    </w:p>
    <w:p>
      <w:r>
        <w:rPr>
          <w:b/>
        </w:rPr>
        <w:t>E. 3.2</w:t>
      </w:r>
    </w:p>
    <w:p>
      <w:r>
        <w:t>A l'appui de sa requête d'effet suspensif, l’appelant fait valoir en substance qu’il a récemment obtenu une promotion dans le cadre 19J120</w:t>
      </w:r>
    </w:p>
    <w:p>
      <w:r>
        <w:t>- 5 - professionnel, qui engendrerait une charge de travail particulièrement élevée. L’attribution de la jouissance du domicile conjugal à l’intimée impliquerait qu’il devrait passer du temps à la recherche d’un logement, aux visites et au déménagement, ce qui aurait pour conséquence d’entraver l’exercice de son activité professionnelle et lui causerait un préjudice difficilement réparable. Il soutient en outre qu’une renonciation à accorder l’effet suspensif reviendrait à vider l’appel de sa substance. L’intimée soutient quant à elle en substance que la situation familiale serait devenue insupportable et aurait des effets négatifs sur sa santé. Elle expose que l’appelant ferait pression sur elle, l’injurierait et la dénigrerait auprès des tiers. Il serait donc urgent selon elle que les parties se séparent car elles vivent depuis neuf mois dans cette situation et leur relation se dégraderait de jour en jour. Elle fait valoir enfin que l’appelant ne subirait aucun préjudice difficilement réparable en cas de refus de l’effet suspensif car si la jouissance du domicile conjugal devait lui être attribuée à l’issue de la procédure, il pourrait alors réintégrer la villa familiale.</w:t>
      </w:r>
    </w:p>
    <w:p>
      <w:r>
        <w:rPr>
          <w:b/>
        </w:rPr>
        <w:t>E. 3.3</w:t>
      </w:r>
    </w:p>
    <w:p>
      <w:r>
        <w:t>En l’espèce, le premier juge a attribué le logement conjugal à l’intimée, alors que les parties habitent actuellement le logement. Il y a lieu de considérer que l’exécution de l’ordonnance attaquée pourrait exposer l’appelant à un préjudice difficilement réparable. En effet, à défaut de suspension du caractère exécutoire de la décision, l’intéressé serait contraint de prendre un engagement contractuel en concluant un bail et en se soumettant à des délais de résiliation, et de déménager rapidement, pour potentiellement réintégrer le logement conjugal en cas d’admission de son appel. En outre, le refus d’accorder l’effet suspensif reviendrait à vider l’appel de tout son objet puisqu’il porte principalement sur l’attribution du domicile conjugal. Enfin, les pressions et injures alléguées par l’intimée ne sont pas établies. Cela étant, il est vrai qu’il n’est pas idéal que des époux qui se sont séparés se voient contraints de cohabiter ensemble, de sorte qu’il sera statué sur la présente cause dans les meilleurs délais. 19J120</w:t>
      </w:r>
    </w:p>
    <w:p>
      <w:r>
        <w:t>- 6 -</w:t>
      </w:r>
    </w:p>
    <w:p>
      <w:r>
        <w:rPr>
          <w:b/>
        </w:rPr>
        <w:t>E. 4</w:t>
      </w:r>
    </w:p>
    <w:p>
      <w:r>
        <w:t>En définitive, la requête d’effet suspensif doit être admise. Il sera statué sur les frais judiciaires et les dépens dans le cadre de l’arrêt sur appel à intervenir (cf. art. 104 al. 3 CPC). Par ces motifs, la Juge unique de la Cour d’appel civile, prononce : I. La requête d’effet suspensif est admise. II. L’exécution des chiffres I et II de l’ordonnance de mesures protectrices de l’union conjugale du 17 décembre 2025 est suspendue jusqu’à droit connu sur l’appel. III. Il sera statué sur les frais judiciaires et les dépens de la présente ordonnance dans le cadre de l’arrêt sur appel à intervenir. La juge unique : La greffière : Du La présente ordonnance, dont la rédaction a été approuvée à huis clos, est notifiée à : - Me Vanessa Green (pour E.________), - Me Bernadette Schindler Velasco (pour C.________) 19J120</w:t>
      </w:r>
    </w:p>
    <w:p>
      <w:r>
        <w:t>- 7 - et communiqué, par l'envoi de photocopies, à : - M. le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