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JS25.009964 vom 14. November 2025</w:t>
      </w:r>
    </w:p>
    <w:p>
      <w:r>
        <w:t>VD Tribunal cantonal, 2025-11-14, FR</w:t>
      </w:r>
    </w:p>
    <w:p>
      <w:r>
        <w:rPr>
          <w:b/>
        </w:rPr>
        <w:t xml:space="preserve">Quelle: </w:t>
      </w:r>
      <w:r>
        <w:t>https://mcp.opencaselaw.ch/entscheid/vd_gerichte_JS25.009964</w:t>
      </w:r>
    </w:p>
    <w:p>
      <w:r>
        <w:t>FR: VD_GERICHTE JS25.009964 du 14 novembre 2025</w:t>
      </w:r>
    </w:p>
    <w:p>
      <w:r>
        <w:t>IT: VD_GERICHTE JS25.009964 del 14 novembre 2025</w:t>
      </w:r>
    </w:p>
    <w:p>
      <w:pPr>
        <w:pStyle w:val="Heading2"/>
      </w:pPr>
      <w:r>
        <w:t>Erwägungen</w:t>
      </w:r>
    </w:p>
    <w:p>
      <w:r>
        <w:rPr>
          <w:b/>
        </w:rPr>
        <w:t>E. 1</w:t>
      </w:r>
    </w:p>
    <w:p>
      <w:r>
        <w:t>Aux termes de l’art. 315 al. 2 let. b CPC (Code de procédure civile du 19 décembre 2008 ; RS 272), l’appel n’a pas d’effet suspensif lorsqu’il a pour objet des décisions portant sur des mesures provisionnelles. Selon l’art. 315 al. 4 let. b CPC, si la partie concernée risque de subir un préjudice difficilement réparable, l’instance d’appel peut, sur demande, exceptionnellement suspendre le caractère exécutoire dans les cas prévus à l’al. 2.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w:t>
      </w:r>
    </w:p>
    <w:p>
      <w:r>
        <w:rPr>
          <w:b/>
        </w:rPr>
        <w:t>E. 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w:t>
      </w:r>
    </w:p>
    <w:p>
      <w:r>
        <w:t>- 4 - pourra en obtenir la restitution s’il obtient finalement gain de cause (TF 5A_56/2019 du 9 mai 2019 consid. 1.2.1; TF 5A_233/2016 du 26 mai 2016 consid. 1.3.2.2).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JdT 2015 II 227, FamPra.ch 2014 p. 1030 ; TF 5A_59/2024 du 9 octobre 2024 consid. 3.1.1).</w:t>
      </w:r>
    </w:p>
    <w:p>
      <w:r>
        <w:rPr>
          <w:b/>
        </w:rPr>
        <w:t>E. 2.2</w:t>
      </w:r>
    </w:p>
    <w:p>
      <w:r>
        <w:t>Le requérant fait valoir que son revenu aurait été surévalué, que la contribution d’entretien en faveur de l’intimée ne serait pas justifiée au regard des circonstances factuelles et qu’il risquerait de devoir exécuter des paiements importants qu’il ne pourrait pas récupérer. Afin d’éviter qu’il ne subisse une atteinte disproportionnée à sa situation patrimoniale avant même l’issue du litige, il y aurait lieu de faire droit à sa requête d’effet suspensif. S’agissant des contributions d’entretien courantes, le requérant n’explique pas dans quelle mesure le versement des pensions mises à sa charge porterait atteinte à son minimum vital strict. On relèvera à cet égard que, bien que contestée, l’ordonnance querellée retient qu’après couverture de son minimum vital du droit de la famille, le requérant présente un disponible de 22'404 fr. 08 (40'400 fr. 73 [revenus] - 17'996 fr. 65 [charges]), montant qui n’apparaît pas, à première vue, manifestement erroné. Le requérant n’expose pas non plus les motifs pour lesquels il ne pourrait pas récupérer l’éventuelle somme versée en trop. Comme le relève à juste titre l’intimée, le requérant et elle-même sont copropriétaires d’un bien immobilier dont la jouissance a été attribuée au requérant. Une contrepartie financière devra dans cette mesure être versée à l’intimée dans le cadre de la liquidation du régime matrimonial,</w:t>
      </w:r>
    </w:p>
    <w:p>
      <w:r>
        <w:t>- 5 - ce qui permettra au requérant de se voir restituer l’hypothétique somme versée en trop. Dans le cadre de sa requête d’effet suspensif, le requérant n’allègue pas qu’il ne disposerait pas d’une fortune lui permettant d’acquitter les arriérés de pensions. Il n’apparaît donc pas, prima facie, que le paiement des arriérés de contributions d’entretien, qui s’élèvent à ce jour à 89'750 fr. ([3'975 fr. + 5'000 fr.] x 10 mois), exposerait le requérant à d’importantes difficultés financières durant la procédure d’appel, au contraire de l’intimée qui accuse, selon les termes de l’ordonnance, un déficit de 148 fr. 75. La requête d’effet suspensif doit dès lors être rejetée aussi bien pour les pensions courantes que pour les arriérés de contributions d’entretien.</w:t>
      </w:r>
    </w:p>
    <w:p>
      <w:r>
        <w:rPr>
          <w:b/>
        </w:rPr>
        <w:t>E. 3</w:t>
      </w:r>
    </w:p>
    <w:p>
      <w:r>
        <w:t>Concernant la provisio ad litem, le requérant n’allègue pas, au stade de l’effet suspensif, qu’il ne disposerait pas d’un montant de 5'000 fr. à verser à l’intimée pour assumer les frais du procès. On rappellera par ailleurs que la restitution de l’éventuel trop-perçu auprès de son épouse pourra avoir lieu au plus tard au moment du divorce des parties, celles-ci étant copropriétaires de l’ancien logement conjugal. La requête d’effet suspensif doit ainsi également être rejetée s’agissant de la provisio ad litem.</w:t>
      </w:r>
    </w:p>
    <w:p>
      <w:r>
        <w:rPr>
          <w:b/>
        </w:rPr>
        <w:t>E. 4</w:t>
      </w:r>
    </w:p>
    <w:p>
      <w:r>
        <w:t>A défaut de toute motivation relative à la suspension du chiffre IIb de l’ordonnance attaquée portant sur la fixation du domicile légal de l’enfant, la conclusion idoine de la requête est irrecevable.</w:t>
      </w:r>
    </w:p>
    <w:p>
      <w:r>
        <w:rPr>
          <w:b/>
        </w:rPr>
        <w:t>E. 5</w:t>
      </w:r>
    </w:p>
    <w:p>
      <w:r>
        <w:t>En définitive, la requête d’effet suspensif doit être rejetée.</w:t>
      </w:r>
    </w:p>
    <w:p>
      <w:r>
        <w:t>- 6 - Il sera statué sur les frais judiciaires et les dépens dans le cadre de l’arrêt sur appel à intervenir (cf. art. 104 al. 3 CPC). Par ces motifs, le Juge unique de la Cour d’appel civile prononce : I. rejet te la requête d’effet suspensif. II. d i t qu’il sera statué sur les frais judiciaires et les dépens de la présente ordonnance dans le cadre de l’arrêt sur appel à intervenir. Le juge unique : La greffière : Du La présente ordonnance, dont la rédaction a été approuvée à huis clos, est notifiée à : - Me Christian Dénériaz (pour A.R.________), - Me Alexandre Saillet (pour T.________, née [...]),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w:t>
      </w:r>
    </w:p>
    <w:p>
      <w:r>
        <w:t>- 7 -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