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JS24.058234 vom 19. August 2025</w:t>
      </w:r>
    </w:p>
    <w:p>
      <w:r>
        <w:t>VD Tribunal cantonal, 2025-08-19, FR</w:t>
      </w:r>
    </w:p>
    <w:p>
      <w:r>
        <w:rPr>
          <w:b/>
        </w:rPr>
        <w:t xml:space="preserve">Quelle: </w:t>
      </w:r>
      <w:r>
        <w:t>https://mcp.opencaselaw.ch/entscheid/vd_gerichte_JS24.058234</w:t>
      </w:r>
    </w:p>
    <w:p>
      <w:r>
        <w:t>FR: VD_GERICHTE JS24.058234 du 19 août 2025</w:t>
      </w:r>
    </w:p>
    <w:p>
      <w:r>
        <w:t>IT: VD_GERICHTE JS24.058234 del 19 agosto 2025</w:t>
      </w:r>
    </w:p>
    <w:p>
      <w:pPr>
        <w:pStyle w:val="Heading2"/>
      </w:pPr>
      <w:r>
        <w:t>Erwägungen</w:t>
      </w:r>
    </w:p>
    <w:p>
      <w:r>
        <w:rPr>
          <w:b/>
        </w:rPr>
        <w:t>E. 3</w:t>
      </w:r>
    </w:p>
    <w:p>
      <w:r>
        <w:t>Il est constaté au préalable que l’appelant a retiré ses conclusions relatives à l’attribution du logement conjugal et de la garde des enfants F.________, R.________ et I.________ lors de l’audience d’appel, de sorte que celles-ci sont désormais sans objet.</w:t>
      </w:r>
    </w:p>
    <w:p>
      <w:r>
        <w:rPr>
          <w:b/>
        </w:rPr>
        <w:t>E. 3.1</w:t>
      </w:r>
    </w:p>
    <w:p>
      <w:r>
        <w:t>; TF 5A_372/2015 du 29 septembre 2015 consid. 3.3). De même, on tiendra compte des frais de logement effectifs du débiteur, même s'ils sont bas et qu'il recherche un appartement dont le loyer est susceptible d'être plus élevé (Juge délégué CACI 11 octobre 2011/294 ; Juge délégué CACI 21 juin 2012/289). La prise en compte d'un remboursement futur hypothétique contrevient de manière insoutenable à la jurisprudence, à tout le moins lorsque la mise à disposition gracieuse de l'appartement ne peut être qualifiée de transitoire (TF 5A_930/2019 du 16 septembre 2020 consid. 5.3). Dans certaines circonstances toutefois, il n'est pas arbitraire de tenir compte d'un loyer hypothétique. Tel peut être le cas lorsqu'un époux loge à titre transitoire gratuitement chez ses parents (TF 5A_405/2019 du 24 février 2020 consid. 5.3, FamPra.ch 2020 p. 428) et qu'il ne dispose pas des moyens financiers pour prendre un logement propre (TF 5A_845/2012 du 2 octobre 2013 consid. 3.1.3 ; TF 5A_397/2022 du 17 mai 2023 consid. 6.2.3) ou encore lorsque l’intéressé loge de manière transitoire au Centre d’accueil Malley Prairie (Juge unique CACI du 18 novembre 2024/518 consid. 3.4.3.2.2 ; Juge délégué CACI 23 avril 2021/205).</w:t>
      </w:r>
    </w:p>
    <w:p>
      <w:r>
        <w:rPr>
          <w:b/>
        </w:rPr>
        <w:t>E. 3.30</w:t>
      </w:r>
    </w:p>
    <w:p>
      <w:r>
        <w:t>6.00 6.00 prise en charge par des tiers frais d'écolage / fournitures scolaires frais de déplacement indispensables frais nécessaires de repas hors du domicile fr. fr. fr. MINIMUM VITAL LP 797.30 800.00 600.00 impôts (ICC / IFD) part. aux frais de logement (effectifs) prime d'assurance-maladie (complémentaire) télécommunication fr. fr. fr. MINIMUM VITAL DF 797.30 800.00 600.00 fr. fr. fr. - allocations familiales ou de formation 322.00 322.00 365.00 - revenus de l'enfant</w:t>
      </w:r>
    </w:p>
    <w:p>
      <w:r>
        <w:t>- 49 - fr. fr. fr. COUTS DIRECTS (CD) 475.30 478.00 235.00 contribution de prise en charge (en % du 33.33% 33.33% 33.33% découvert du parent gardien) fr. fr. fr. contribution de prise en charge (montant) 937.55 937.65 937.65 participation à l'excédent fr. fr. fr. ENTRETIEN CONVENABLE (EC) 1'410.00 1'420.00 1'170.00 Il ressort des tableaux ci-dessus que les entretiens convenables des enfants se montent toujours à un total de 4'000 fr. (1'410 fr. + 1'420 fr. + 1'170 fr.). L’appelant, avec un disponible de 1'871 fr. 35 par mois, n’est toujours pas en mesure de couvrir l’intégralité de l’entretien convenable de ses filles. Il convient ainsi de répartir les ressources disponibles de l’appelant en fonction de l’ampleur des besoins, soit à raison de 35% pour F.________, 35% pour R.________ et 30% pour I.________ du disponible de leur père. En conséquence, les contributions dues dès le 1er janvier 2026 s’élèvent à 655 fr., montant arrondi, pour F.________ et R.________ et à 560 fr., montant arrondi, pour I.________.</w:t>
      </w:r>
    </w:p>
    <w:p>
      <w:r>
        <w:rPr>
          <w:b/>
        </w:rPr>
        <w:t>E. 4.1</w:t>
      </w:r>
    </w:p>
    <w:p>
      <w:r>
        <w:t>L’appelant sollicite en premier lieu qu’une évaluation de la situation familiale et des conditions de prise en charge des enfants soit confiée à l’UEMS afin de déterminer les compétences parentales des parties, d'indiquer si les enfants subissent une aliénation parentale de la part de l’intimée et de faire toute proposition relative à l'exercice des droits parentaux.</w:t>
      </w:r>
    </w:p>
    <w:p>
      <w:r>
        <w:rPr>
          <w:b/>
        </w:rPr>
        <w:t>E. 4.2</w:t>
      </w:r>
    </w:p>
    <w:p>
      <w:r>
        <w:t>En vertu de l’art. 20 al. 1 LProMin (Loi vaudoise du 4 mai 2004 sur la protection des mineurs, BLV 850.41), l'autorité judiciaire ou l'autorité de protection de l'enfant peut charger le service en charge de la protection des mineurs d'évaluer, sous l'angle de la protection d'un mineur, les conditions d'existence de celui-ci auprès de ses parents ainsi</w:t>
      </w:r>
    </w:p>
    <w:p>
      <w:r>
        <w:t>- 15 - que les capacités éducatives de ceux-ci en vue de faire des propositions relatives aux mesures de protection au sens des articles 307 et suivants du Code civil (let. a) ou en vue de faire des propositions relatives à l'attribution de l'autorité parentale, la garde et/ou l'exercice des relations personnelles (let. b). Le principe de la proportionnalité est la pierre angulaire du système de protection civile de l'enfant, la mesure ordonnée devant notamment être apte à atteindre le but de protection visé et nécessaire à cette fin (principe de la proportionnalité au sens étroit). En outre le prononcé de toute mesure protectrice suppose que le danger menaçant le bien de l'enfant ne puisse être prévenu par les père et mère eux-mêmes (cf. art. 307 al. 1 CC), ni par des mesures plus limitées (principe de la subsidiarité ; TF 5A_615/2011 du 5 décembre 2011 consid. 4.1 et les réf. citées). L'autorité qui ordonne une mesure de protection de l'enfant dispose à cet égard d'un large pouvoir d'appréciation (art. 4 CC). Il en va de même des autorités de recours. Le choix de la mesure nécessite en effet une part importante d'anticipation et de pronostic quant à l'évolution des circonstances déterminantes ; il dépendra de toutes les données concrètes du cas, non seulement sous l'angle juridique, mais aussi en fonction des aspects sociaux, médicaux et éducatifs de la situation et de la constellation familiale (ATF 120 II 384 consid. 4d ; TF 5A_64/2023 du 21 juin 2023 consid. 3.1 ; TF 5A_603/2022 du 28 avril 2023 consid. 3.1.1 ; TF 5A_733/2020 du 18 novembre 2021 consid. 6.2).</w:t>
      </w:r>
    </w:p>
    <w:p>
      <w:r>
        <w:rPr>
          <w:b/>
        </w:rPr>
        <w:t>E. 4.3</w:t>
      </w:r>
    </w:p>
    <w:p>
      <w:r>
        <w:t>En l’espèce, la DGEJ préconise dans son rapport du 1er mai 2025 qu’un mandat d’évaluation soit attribué à l’UEMS afin que des propositions concernant la garde des enfants, l’organisation des visites ainsi que la forme qu’elles prendraient puissent être formulées. L’appelant requiert un tel mandat et l’intimée ne s’y est pas opposée. Au vu des constats de la DGEJ, de l’ampleur du conflit conjugal, où il y a des soupçons de violence intrafamiliale et où la communication est totalement rompue entre les parents, et du fait que les deux aînées se refusent en l’état à voir leur père, la mise en œuvre de l’évaluation de l’UEMS apparaît</w:t>
      </w:r>
    </w:p>
    <w:p>
      <w:r>
        <w:t>- 16 - justifiée. Le développement des enfants est en effet susceptible d’être en danger. Partant, il convient de mettre en œuvre rapidement un mandat d’évaluation auprès de l’UEMS qui sera chargée de déterminer la capacité des parents à prendre en charge leurs enfants F.________, R.________ et I.________ en tenant compte de leurs besoins émotionnels et psychiques, et de formuler toute proposition concernant la garde des enfants, l’organisation des visites ainsi que la forme qu’elles prendraient, ainsi que toute mesure de protection des mineurs pouvant s’avérer nécessaire, même déjà en cours d’évaluation.</w:t>
      </w:r>
    </w:p>
    <w:p>
      <w:r>
        <w:rPr>
          <w:b/>
        </w:rPr>
        <w:t>E. 5.1</w:t>
      </w:r>
    </w:p>
    <w:p>
      <w:r>
        <w:t>; TF 5A_314/2022 du 15 mai 2023 consid. 5.1.1 ; TF 5A_253/2020 consid. 3.1.2).</w:t>
      </w:r>
    </w:p>
    <w:p>
      <w:r>
        <w:rPr>
          <w:b/>
        </w:rPr>
        <w:t>E. 5.2</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qu'ultima ratio (art. 274 al. 2 CC ; TF</w:t>
      </w:r>
    </w:p>
    <w:p>
      <w:r>
        <w:t>- 17 - 5A_844/2023 du 16 juillet 2024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 La réglementation du droit de visite ne saurait dépendre uniquement de la volonté de l'enfant ;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douze ans révolus, ainsi que la constance de son avis sont centraux. Si un enfant capable de discernement refuse de manière catégorique et répétée, sur le vu de ses propres expériences, d'avoir des contacts avec l'un de ses parents, il faut les exclure en raison du bien de l'enfant ; en effet, face à une forte opposition, un contact forcé est incompatible avec le but des relations personnelles ainsi qu'avec les droits de la personnalité de l'enfant (ATF 127 III 295 consid. 4a ; TF 5A_699/2021 du 21 décembre 2021 consid. 6.1 et les réf. citées ; TF 5A_2020 du 18 mars 2021 consid. 5.1).</w:t>
      </w:r>
    </w:p>
    <w:p>
      <w:r>
        <w:rPr>
          <w:b/>
        </w:rPr>
        <w:t>E. 5.3</w:t>
      </w:r>
    </w:p>
    <w:p>
      <w:r>
        <w:t>La première juge a rappelé qu’un droit de visite avait été instauré par ordonnance de mesures superprovisionnelles du 21 janvier 2025 et que celui-ci devait s’exercer par l’intermédiaire du Centre MalleyPrairie, l’appelant pouvant également avoir des contacts</w:t>
      </w:r>
    </w:p>
    <w:p>
      <w:r>
        <w:t>- 18 - téléphoniques avec ses filles. La présidente a toutefois relevé que lors de leur audition, F.________ et R.________ avaient clairement affirmé qu’elles ne souhaitaient plus avoir de contacts avec leur père et qu’à chaque appel, celui-ci les accusait d’être responsables de sa séparation d’avec leur mère. F.________ avait également raconté que, lors d’un événement survenu à la maison, son père aurait menacé de la frapper alors qu’elle souhaitait l’aider. La présidente a également constaté qu’il ressortait du signalement effectué par un intervenant du Centre MalleyPrairie que les enfants avaient fait part de leurs craintes et de leur refus de recevoir des appels de leur père car celui-ci se montrerait dénigrant et menaçant. Compte tenu des éléments qui précèdent, la première juge a renoncé en l’état à fixer un droit de visite en faveur de l’appelant sur ses filles, dans l’attente du rapport de la DGEJ ensuite du signalement effectué par le Centre MalleyPrairie.</w:t>
      </w:r>
    </w:p>
    <w:p>
      <w:r>
        <w:rPr>
          <w:b/>
        </w:rPr>
        <w:t>E. 5.4</w:t>
      </w:r>
    </w:p>
    <w:p>
      <w:r>
        <w:t>L’appelant relève qu’il n’a pas pu voir ses enfants depuis le 3 décembre 2024 et il avance que le droit de visite instauré en sa faveur a été suspendu à la suite du signalement effectué par le Centre d’accueil MalleyPrairie, alors que celui-ci reposait sur des évènements dénoncés sans preuve par l’intimée. Il soutient également qu’il ressort des auditions des enfants par la première juge des clairs indices d’une potentielle aliénation parentale du fait de l’intimée, tant les propos tenus par les enfants à son encontre seraient exagérés et infondés. Ainsi, ce serait uniquement en raison de l’acharnement de l’intimée, dont les allégations ne sont appuyées par aucune preuve autre que ses propres déclarations ou celles qu’elle aurait insufflées aux enfants, que l’appelant ne peut plus voir ses enfants. Il fait valoir qu’une telle coupure du lien avec celles-ci est dangereuse pour leur bon développement, surtout pour sa fille cadette qui est âgée de seulement 2 ans.</w:t>
      </w:r>
    </w:p>
    <w:p>
      <w:r>
        <w:rPr>
          <w:b/>
        </w:rPr>
        <w:t>E. 5.5</w:t>
      </w:r>
    </w:p>
    <w:p>
      <w:r>
        <w:t>L’intimée met en avant la gravité des faits dénoncés par ses filles aînées auprès de la direction du Centre MalleyPrairie, qui a par la suite effectué un signalement. Elle se réfère également à leur audition par la première juge, dont il ressort notamment qu’elles ne souhaitent pas entretenir de contact avec leur père. Selon l’intimée, le bon</w:t>
      </w:r>
    </w:p>
    <w:p>
      <w:r>
        <w:t>- 19 - développement psychique des enfants serait ainsi en danger en présence de l’appelant. Elle conteste également les accusations d’aliénation parentale de sa part, ceux-ci ne reposant sur aucun motif. S’agissant d’I.________, elle relève les déclarations faites par sa grande sœur F.________, qui a expliqué avoir assisté à une scène lors de laquelle sa petite sœur pleurait et l'appelant ne réagissait pas. La situation était telle que F.________ aurait proposé de s'occuper elle-même de sa petite sœur. L'appelant aurait alors menacé de frapper sa fille aînée et aurait par la suite crié contre sa fille cadette, âgée de moins de deux ans au moment des faits. L’intimée expose également qu’I.________ aurait déjà été prise à parti lors d’une dispute entre les parties. Le 8 janvier 2025, celle-ci se trouvait dans les bras de l'appelant, qui l'y retenait, lorsque celui-ci avait tenté d'embrasser de force l'intimée. Bien que l'appelant ait nié la véracité de ces accusations, une plainte pénale a été déposée le 13 mars 2025 et des vidéos de cette agression produites dans le cadre de l'affaire pénale en cours confirmeraient selon l’intimée sa version des faits.</w:t>
      </w:r>
    </w:p>
    <w:p>
      <w:r>
        <w:rPr>
          <w:b/>
        </w:rPr>
        <w:t>E. 5.6</w:t>
      </w:r>
    </w:p>
    <w:p>
      <w:r>
        <w:t>En l’espèce, les filles aînées des parties, âgées de 12 et 14 ans, ont clairement exprimé leur volonté de ne pas entretenir de contact en l’état avec leur père. Cette volonté transparait également du fait qu’elles ne répondent pas aux messages de l’appelant alors qu’elles ont un téléphone. Celles-ci ont fait état de tentatives d’intimidation et de pressions exercées sur elles par leur père avec pour objectif le retour de la mère et de la famille au sein du foyer conjugal, ainsi que la violence verbale et la surveillance dont elles font l’objet du fait de leur père. Les éléments au dossier rendent compte à un haut niveau de vraisemblance que le père a fait pression sur elles en les rendant responsables de la séparation, en les menaçant de ce qui pourrait se passer une fois la procédure terminée, et qu’il les a soumises par le passé à des mesures de surveillance. L’appelant a d’ailleurs reconnu lors de son entretien avec un intervenant de la DGEJ avoir acheté une caméra que l’ainée était supposée porter sur elle car il la soupçonnait de fréquenter un jeune homme. F.________ et R.________ ont toujours été constantes dans leurs déclarations, tant devant les intervenants du Centre MalleyPrairie, que devant la présidente et les intervenants de la DGEJ. A ce stade, le soupçon</w:t>
      </w:r>
    </w:p>
    <w:p>
      <w:r>
        <w:t>- 20 - d’aliénation formulé par l’appelant n’est pas étayé du tout. Il n’est en outre pas constaté de remise en question de sa part. Il se dit certes prêt à voir un thérapeute mais n’a entrepris aucune démarche en ce sens et estime qu’il n’a rien à changer dans son comportement à l’égard de ses filles. Face aux craintes et à la colère exprimées par ses filles aînées à son égard, l’appelant se limite à affirmer que celles-ci sont manipulées par leur mère. Compte tenu de ce qui précède, on n’obligera pas en l’état F.________ et R.________ à avoir des relations personnelles de quelque ordre que ce soit avec leur père si elles ne le souhaitent pas, car il pourrait s’avérer contre-productif de le faire, alors qu’il y a lieu de ne pas malmener davantage le lien père-fille ; par ailleurs, en l’état, l’appelant ne paraît pas à même de remettre quelque aspect que ce soit de son comportement en question et paraît agir avec violence et menace à l’encontre de ses enfants, ce qui met en danger leur développement. Il y a lieu d’attendre le résultat de l’évaluation de l’UEMS pour déterminer le cas échéant si d’autres mesures – et de quel type – pourraient être envisagées pour rétablir un lien entre l’appelant et ses filles ainées. S’agissant d’I.________, contrairement à ses sœurs, elle n’est pas en mesure en raison de son âge d’exprimer elle-même son souhait de voir ou non son père. Il y a dès lors lieu de donner une opportunité au lien père-fille de se maintenir, respectivement de s’épanouir, ce qui est d’autant plus important au vu du jeune âge de l’enfant implique qu’une rupture des contacts pourrait engendrer une rupture du lien. Vu le comportement inadéquat empreint d’une forme de brutalité que l’appelant parait avoir adopté à au moins à une reprise à l’égard d’I.________, il y a lieu d’exclure en l’état un droit de visite qui ne serait pas surveillé. On ordonnera dès lors un droit de visite médiatisé, par l’intermédiaire de Point Rencontre, selon le calendrier et conformément aux règlement et principes de fonctionnement de cette institution, sans possibilité de sortir des locaux, à raison de deux heures consécutives deux fois par mois. Toute autre mesure de surveillance relative au droit de visite, qui apparaîtrait plus adéquate et serait proposée dans le cadre de l’évaluation de l’UEMS, demeure réservée.</w:t>
      </w:r>
    </w:p>
    <w:p>
      <w:r>
        <w:t>- 21 -</w:t>
      </w:r>
    </w:p>
    <w:p>
      <w:r>
        <w:rPr>
          <w:b/>
        </w:rPr>
        <w:t>E. 5.7</w:t>
      </w:r>
    </w:p>
    <w:p>
      <w:r>
        <w:t>Il s’ensuit que l’appel doit être partiellement admis s’agissant des relations personnelles de l’appelant avec I.________ et rejeté s’agissant des relations personnelles de l’appelant avec F.________ et R.________.</w:t>
      </w:r>
    </w:p>
    <w:p>
      <w:r>
        <w:rPr>
          <w:b/>
        </w:rPr>
        <w:t>E. 6.1</w:t>
      </w:r>
    </w:p>
    <w:p>
      <w:r>
        <w:t>L’appelant fait valoir que les contributions d’entretien telles qu’arrêtées par la présidente sont erronées.</w:t>
      </w:r>
    </w:p>
    <w:p>
      <w:r>
        <w:rPr>
          <w:b/>
        </w:rPr>
        <w:t>E. 6.2.1</w:t>
      </w:r>
    </w:p>
    <w:p>
      <w:r>
        <w:t>Le juge des mesures protectrices de l’union conjugale fixe le principe et le montant de la contribution d’entretien à verser aux enfants et à l’époux (art. 176 al. 1 ch. 1 CC). L’art. 163 CC demeure la cause de l’obligation d’entretien réciproque des époux (ATF 145 III 36 consid. 2.4 ; ATF 140 III 337 consid. 4.2.1, JdT 2015 II 227 ; ATF 138 III 97 consid. 2.2, JdT 2012 II 479).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 ; TF 5A_583/2018 du 18 janvier 2019 consid. 5.1 ; TF 5A_584/2018 du 10 octobre 2018 consid. 4.3).</w:t>
      </w:r>
    </w:p>
    <w:p>
      <w:r>
        <w:t>- 22 -</w:t>
      </w:r>
    </w:p>
    <w:p>
      <w:r>
        <w:rPr>
          <w:b/>
        </w:rPr>
        <w:t>E. 6.2.2.1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6.2.2.2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6.2.2.3</w:t>
      </w:r>
    </w:p>
    <w:p>
      <w:r>
        <w:t>Si les moyens le permettent, il y a lieu d’élargir le budget à des dépenses supplémentaires, qui constituent le minimum vital du droit de la famille, en ajoutant les impôts courants, estimés sur la base du calculateur cantonal intégré au tableau qui suit,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w:t>
      </w:r>
    </w:p>
    <w:p>
      <w:r>
        <w:t>- 23 - cas échéant, des dépenses de prévoyance à des institutions privées de la part de travailleurs indépendants (ATF 147 III 457, JdT 2022 II 211, FamPra.ch 2021 p. 1127 ; ATF 147 III 265 précité consid. 7.2).</w:t>
      </w:r>
    </w:p>
    <w:p>
      <w:r>
        <w:rPr>
          <w:b/>
        </w:rPr>
        <w:t>E. 6.2.2.4</w:t>
      </w:r>
    </w:p>
    <w:p>
      <w:r>
        <w:t>Lorsque les moyens suffisent à financer les minima vitaux du droit de la famille de tous les intéressés, l’excédent doit être attribué selon la répartition par « grandes et petites têtes », à savoir deux parts pour un adulte, une part pour un enfant mineur.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6.2.2.5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 Juge unique CACI 21 mai 2025/230 consid. 8.1.5).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 sur le tout : Juge unique CACI 17 octobre 2024/467 consid. 10.1.4).</w:t>
      </w:r>
    </w:p>
    <w:p>
      <w:r>
        <w:rPr>
          <w:b/>
        </w:rPr>
        <w:t>E. 6.3</w:t>
      </w:r>
    </w:p>
    <w:p>
      <w:r>
        <w:t>- 24 -</w:t>
      </w:r>
    </w:p>
    <w:p>
      <w:r>
        <w:rPr>
          <w:b/>
        </w:rPr>
        <w:t>E. 6.3.1</w:t>
      </w:r>
    </w:p>
    <w:p>
      <w:r>
        <w:t>Il convient en premier lieu d’examiner le revenu de l’appelant, lequel a quitté son emploi de maçon pour la fin du mois de mars 2025 et n’a pas travaillé durant les mois d’avril et mai 2025, avant de débuter dans un nouvel emploi de monteur-électricien à 100% le 2 juin 2025 auprès de Y.________ SA.</w:t>
      </w:r>
    </w:p>
    <w:p>
      <w:r>
        <w:rPr>
          <w:b/>
        </w:rPr>
        <w:t>E. 6.3.2</w:t>
      </w:r>
    </w:p>
    <w:p>
      <w:r>
        <w:t>La jurisprudence retient que, lorsque le débirentier diminue volontairement son revenu alors qu’il savait, ou devait savoir, qu’il lui incombait d’assumer des obligations d’entretien, il est admissible de lui imputer un revenu hypothétique avec effet rétroactif (ATF 143 III 233 consid. 3 ; TF 5A_553/2020 du 16 février 2021 consid. 5.2.1). Dans cette hypothèse, le fait que le débiteur ne peut pas revenir en arrière et modifier son revenu réalisé dans le passé n’empêche pas la prise en compte rétroactive d’un revenu hypothétique (TF 5A_184/2015 du 22 janvier 2016 consid. 3.4).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(TF 5A_561/2020 du 3 mars 2021 consid. 5.1.3). L'examen des exigences à remplir pour qu'on puisse considérer que le débirentier a tout mis en œuvre pour continuer à assumer son obligation d'entretien – et qu'il a donc démontré son incapacité à trouver un autre poste avec une rémunération similaire à celle qu'il percevait précédemment – relève de l'appréciation du juge, qui pourra sur ce point se montrer large pour tenir compte de critères tels que l'âge de la personne à la recherche d'un emploi (TF 5A_784/2022 consid.</w:t>
      </w:r>
    </w:p>
    <w:p>
      <w:r>
        <w:rPr>
          <w:b/>
        </w:rPr>
        <w:t>E. 6.3.3</w:t>
      </w:r>
    </w:p>
    <w:p>
      <w:r>
        <w:t>L’appelant a quitté son emploi de maçon à la fin du mois de mars 2025. Il a exposé n’avoir pas travaillé durant les mois d’avril et mai</w:t>
      </w:r>
    </w:p>
    <w:p>
      <w:r>
        <w:t>- 25 - 2025 et n’avoir pas non plus effectué de démarches en vue de percevoir des indemnités de chômage. S’il fait valoir dans ses écritures d’appel que ce changement a été motivé par des raisons médicales, il ressort de l’instruction que l’appelant a en réalité démissionné de son travail car il avait l’intention de retourner dans son pays d’origine. Il a en effet expliqué lors de l’audience d’appel qu’il n’avait pas travaillé durant les mois d’avril et mai car il avait pris du temps pour préparer son départ de Suisse pour retourner au [...], mais qu’il avait finalement changé d’avis. L’appelant a également communiqué à la gérance de son immeuble la résiliation de son contrat de bail pour le 30 avril 2025, ce qui corrobore le fait qu’il avait l’intention de quitter la Suisse et que c’est pour cette raison qu’il a démissionné de son travail. L’appelant n’a en outre pas produit de certificats médicaux ni toute autre pièce attestant de problèmes de santé qui l’auraient empêché de continuer son emploi de maçon. Il ressort de ce qui précède que l’appelant s’est volontairement privé de revenu alors qu’il savait qu’il lui incombait d’assumer ses obligations d’entretien en faveur de ses filles. Ainsi, il sera tenu compte du revenu qu’il réalisait précédemment, soit un salaire net de 4'828 fr.30, pour les mois d’avril et mai 2025, à titre de revenu hypothétique.</w:t>
      </w:r>
    </w:p>
    <w:p>
      <w:r>
        <w:rPr>
          <w:b/>
        </w:rPr>
        <w:t>E. 6.3.4.1</w:t>
      </w:r>
    </w:p>
    <w:p>
      <w:r>
        <w:t>S’agissant de son nouvel emploi dès le 1er juin 2025, l’appelant expose que le treizième salaire pour l’année en cours ne lui sera versé qu’au prorata du temps travaillé dès la fin du temps d’essai, qui se termine le 31 août 2025, si bien qu’il ne recevra pour cette année qu’un tiers de son treizième salaire.</w:t>
      </w:r>
    </w:p>
    <w:p>
      <w:r>
        <w:rPr>
          <w:b/>
        </w:rPr>
        <w:t>E. 6.3.4.2</w:t>
      </w:r>
    </w:p>
    <w:p>
      <w:r>
        <w:t>Quant à l’intimée, elle fait valoir que l’appelant a unilatéralement décidé de mettre un terme à son contrat de travail précédent auprès de B.________ SA car il souhaitait quitter la Suisse. Elle relève que le nouveau contrat prévoit un salaire mensuel brut de 5'300 fr. alors que le précédent prévoyait un revenu mensuel brut de 5'472 fr, soit 172 fr. de plus. Elle soutient qu’il convient de retenir ce dernier revenu, dès lors qu’il est plus élevé que le nouveau contrat. De même, la part du</w:t>
      </w:r>
    </w:p>
    <w:p>
      <w:r>
        <w:t>- 26 - treizième salaire que l’appelant ne recevra pas du fait qu’il a repris un emploi en cours d’année devrait être supportée par l’appelant.</w:t>
      </w:r>
    </w:p>
    <w:p>
      <w:r>
        <w:rPr>
          <w:b/>
        </w:rPr>
        <w:t>E. 6.3.4.3</w:t>
      </w:r>
    </w:p>
    <w:p>
      <w:r>
        <w:t>L’appelant est monteur-électricien. Son contrat est soumis à la Convention collective de travail 2020‑2023 de la branche suisse de l’électricité (ci-après : la CCT). Celle-ci s’applique directement à tous les employeurs et travailleurs d’entreprises ou de parties d’entreprises effectuant notamment des installations électriques et/ou techniques de télécommunication/communication, des installations d’informatiques ou d’information du bâtiment et/ou des installations de production d’énergie électrique (art. 3.3.1), qui sont membres d’EIT.swiss (art. 3.3.2), sur tout le territoire suisse, à l’exception des cantons de Genève et du Valais (art. 3.1.2). Par arrêté du Conseil fédéral du 15 septembre 2020, certaines clauses de la CCT – dont les art. 18, 33 et 34 auxquels il sera fait référence ci-dessous – ont été étendues à tous les employeurs et travailleurs précités, y compris ceux qui ne sont pas membres d’EIT.swiss. L’extension du champ d’application concerne l’ensemble du territoire suisse, cantons de Genève et du Valais exceptés. Par arrêté du Conseil fédéral du 3 décembre 2024, la durée de validité de l’arrêté du 15 septembre 2020 a été prolongée, en l’état jusqu’au 31 décembre 2025. Selon le contrat de travail produit par l’appelant, celui-ci réalise un revenu brut de 5'300 fr., ce qui correspond, après déduction de 15 % de charges sociales (cf. par exemple Juge unique CACI 22 octobre 2024/473 consid. 5.4.4), à un salaire mensuel net de 4'505 francs. Si le contrat prévoit un treizième salaire dès la fin du temps d’essai, la CCT prévoit en son article 18 – applicable en l’espèce selon les arrêtés du Conseil fédéral des 15 septembre 2020 et 3 décembre 2024 – que celui-ci est versé pro rata temporis lorsque les rapports de travail n’ont pas duré toute l’année, soit indépendamment d’un éventuel temps d’essai. Ainsi, l’appelant devrait percevoir à ce titre 7/12ème de son treizième salaire, soit un montant de 2'627 fr. 90. Cela signifie que, pour l’année 2025, l’appelant perçoit un revenu net mensuel de 4'724 fr. ([4'505 x 7/12] + [4'505 x 12] /12). Or, son revenu net s’élevait à 4'828 fr. 30 pour son activité de maçon. Une différence de 100 fr. est significative au vu des</w:t>
      </w:r>
    </w:p>
    <w:p>
      <w:r>
        <w:t>- 27 - moyens financiers très limités des parties. Toutefois, comme vu ci-dessus, l’appelant a unilatéralement décidé de quitter son emploi de maçon sans juste motif. Ainsi, il convient de tenir compte du salaire précédemment perçu par l’appelant d’un montant de 4'828 fr. 30 dès le mois de juin 2025 également. Dès le 1er janvier 2026, il sera tenu compte du revenu effectif de l’appelant, à savoir un revenu mensuel net de 4'880 fr. 40 ([5'300 fr. – 15 %] x 13 / 12), dans la mesure où il touchera un plein treizième salaire. En résumé, il sera tenu compte d’un revenu mensuel net de 4'828 fr. 30 pour la période du 1er décembre 2024 au 31 décembre 2025. Puis, dès le 1er janvier 2025, il sera tenu compte d’un revenu mensuel net de 4'880 fr. 40.</w:t>
      </w:r>
    </w:p>
    <w:p>
      <w:r>
        <w:rPr>
          <w:b/>
        </w:rPr>
        <w:t>E. 6.4.1.1</w:t>
      </w:r>
    </w:p>
    <w:p>
      <w:r>
        <w:t>L’appelant fait grief à la première juge d’avoir retenu un loyer hypothétique de 1'200 fr. dans ses charges. Il fait valoir qu’il occupe le logement conjugal dès lors que l’intimée y a renoncé et qu’il ne peut se départir du contrat de bail avant le 30 septembre 2026.</w:t>
      </w:r>
    </w:p>
    <w:p>
      <w:r>
        <w:rPr>
          <w:b/>
        </w:rPr>
        <w:t>E. 6.4.1.2</w:t>
      </w:r>
    </w:p>
    <w:p>
      <w:r>
        <w:t>S’agissant du montant du loyer, il est vrai que l’ancien logement familial, composé de trois pièces et demie pour quatre occupants, paraît trop grand pour l’appelant, qui n’exerce en l’état pas de droit de visite. Cela étant, dès lors que l’intimée ne souhaite plus habiter dans ce logement, qui lui avait été attribué, et qu’elle a conclu un nouveau contrat de bail dès le 1er avril 2025, le départ de l’appelant à la même date aurait impliqué la location de deux logements simultanément le temps qu’il puisse se départir du contrat de bail, à tout le moins de manière anticipée dès lors que l’échéance contractuelle est fixée au 30 septembre 2025 (P.15), ce qui ne serait pas plus économique que de conserver l’ancien domicile conjugal, même trop grand. En outre, dans l’attente du rendu de l’ordonnance statuant sur l’attribution du logement encore litigieux au début de la procédure d’appel, il ne pouvait être attendu de l’appelant qu’il entreprenne des démarches visant à diminuer le loyer de l’appartement familial (par une sous-location par exemple) ou à</w:t>
      </w:r>
    </w:p>
    <w:p>
      <w:r>
        <w:t>- 28 - céder cet appartement à un locataire de remplacement. Il convient alors de tenir compte d’un loyer de 1'780 fr. dans les charges de l’appelant durant une période qu’il reste encore à déterminer. On relèvera qu’il ressort de l’instruction que, par courrier du 27 mars 2025, l’appelant a requis auprès de la gérance de son immeuble la résiliation du contrat de bail portant sur l’ancien logement conjugal pour le 30 avril 2025. La gérance a interpellé l’intimée afin qu’elle confirme son adhésion à cette résiliation, ce qu’elle a fait. L’appelant a été invité à trouver un locataire de remplacement et à produire des candidatures. Il a cependant changé d’avis et a demandé l’annulation de sa résiliation. Par courrier du 23 mai 2025, la gérance l’a informé qu’elle ne pouvait répondre favorablement à sa demande, mais qu’elle était disposée à étudier sa candidature et l’a invité à retourner un formulaire annexé avec tous les documents demandés, tout en lui rappelant que l’échéance contractuelle était fixée au 30 septembre 2025. Lors de l’audience d’appel du 4 juin 2025, l’appelant a exposé qu’il n’avait pas encore donné suite au courrier de la gérance précité. On constate ainsi qu’après avoir revendiqué l’attribution du logement conjugal, l’appelant a résilié le bail y relatif pour le 30 avril 2025 car il souhaitait quitter la Suisse pour vivre au [...]. Il n’a pas produit de candidatures et n’a en réalité pas recherché de locataire de remplacement malgré qu’il avait été invité à le faire par la gérance. Dans ces circonstances, il ne se justifie pas de tenir compte du loyer de 1'780 fr., au-delà du 30 avril 2025, l’appelant ayant lui-même mis fin au bail pour cette date, sans rien entreprendre pour minimiser sa charge de logement alors que vu l’état du marché locatif lausannois en situation de pénurie, il aurait avec certitude trouvé à remettre cet appartement. Il ne prétend pas non plus qu’il ne pourrait pas se loger pour un loyer de 1'200 francs. C’est dès lors un loyer de 1'780 fr. qui sera retenu dans les charges de l’appelant jusqu’au 30 avril 2025, puis, dès le 1er mai 2025, un loyer hypothétique de 1'200 francs.</w:t>
      </w:r>
    </w:p>
    <w:p>
      <w:r>
        <w:rPr>
          <w:b/>
        </w:rPr>
        <w:t>E. 6.4.2.1</w:t>
      </w:r>
    </w:p>
    <w:p>
      <w:r>
        <w:t>Dans la mesure où le loyer du logement conjugal est comptabilisé dans les charges de l’appelant, il convient d’examiner le</w:t>
      </w:r>
    </w:p>
    <w:p>
      <w:r>
        <w:t>- 29 - loyer de l’intimée, celle-ci ayant séjourné au Centre Malley-Prairie durant les mois de décembre à mars 2025.</w:t>
      </w:r>
    </w:p>
    <w:p>
      <w:r>
        <w:rPr>
          <w:b/>
        </w:rPr>
        <w:t>E. 6.4.2.2</w:t>
      </w:r>
    </w:p>
    <w:p>
      <w:r>
        <w:t>En principe, il n'y a pas lieu de tenir compte de frais de logement pour un débiteur qui, logé gracieusement chez des tiers pour une durée indéterminée, n'en assume pas. Il lui sera loisible de faire valoir ses frais de logement effectifs dès conclusion d'un contrat de bail (Juge délégué CACI 18 avril 2011/51; TF 5A_837/2010 du 11 février 2011 consid.</w:t>
      </w:r>
    </w:p>
    <w:p>
      <w:r>
        <w:rPr>
          <w:b/>
        </w:rPr>
        <w:t>E. 6.4.2.3</w:t>
      </w:r>
    </w:p>
    <w:p>
      <w:r>
        <w:t>Vu la situation transitoire de l’accueil de l’intimée et des enfants des parties au Foyer MalleyPrairie, il se justifie en application de la jurisprudence précitée de tenir compte d’un loyer hypothétique de 1'780 fr. dans les charges de l’intimée –dont il convient de déduire la part imputée aux enfants par 30% (10% par enfant) – pour la période du 1er décembre 2024 au 31 mars 2025, lequel équivaut au loyer acquitté par</w:t>
      </w:r>
    </w:p>
    <w:p>
      <w:r>
        <w:t>- 30 - l’appelant pour l’ancien logement conjugal (cf. Juge délégué CACI 23 avril 2021/205 consid. 5.2.1). Dès le 1er avril 2025, il sera tenu compte du loyer effectif de l’intimée, soit un montant de 1'940 francs.</w:t>
      </w:r>
    </w:p>
    <w:p>
      <w:r>
        <w:rPr>
          <w:b/>
        </w:rPr>
        <w:t>E. 6.5.1.1</w:t>
      </w:r>
    </w:p>
    <w:p>
      <w:r>
        <w:t>L’appelant reproche à la première juge d’avoir écarté ses frais de leasing. Il fait valoir que le contrat de leasing a été conclu le 30 août 2021, soit bien avant la séparation des parties, et court jusqu'au mois d'août 2026, si bien que les frais en découlant doivent être retenus dans ses charges.</w:t>
      </w:r>
    </w:p>
    <w:p>
      <w:r>
        <w:rPr>
          <w:b/>
        </w:rPr>
        <w:t>E. 6.5.1.2</w:t>
      </w:r>
    </w:p>
    <w:p>
      <w:r>
        <w:t>L’intimée soutient que les frais de déplacement de l’appelant sont extravagants et qu’il convient de ramener ces frais à un montant raisonnable comme l’a fait la première juge.</w:t>
      </w:r>
    </w:p>
    <w:p>
      <w:r>
        <w:rPr>
          <w:b/>
        </w:rPr>
        <w:t>E. 6.5.1.3</w:t>
      </w:r>
    </w:p>
    <w:p>
      <w:r>
        <w:t>L’intimée ne conteste pas que l’appelant avait besoin d’un véhicule privé pour se rendre à son emploi de maçon à [...] et qu’il effectuait parfois du travail de nuit (cf. fiche de salaire du mois de novembre 2024, P. 101). Ainsi, ce véhicule était nécessaire à l’acquisition du revenu. Le montant allégué à titre de leasing est rendu vraisemblable par le contrat y relatif, dont il ressort que l’appelant assume une redevance mensuelle de 401 fr. 30 jusqu’au 1er août 2026. Ce leasing n’apparaît pas spécialement coûteux et s’ajoute aux frais de déplacements retenus (387 fr. 90), ce qui totalise 789 fr. 20 par mois pour la période du 1er décembre 2024 au 31 mai 2025.</w:t>
      </w:r>
    </w:p>
    <w:p>
      <w:r>
        <w:rPr>
          <w:b/>
        </w:rPr>
        <w:t>E. 6.5.2</w:t>
      </w:r>
    </w:p>
    <w:p>
      <w:r>
        <w:t>Il convient à nouveau d’examiner la situation dans le cadre du nouvel emploi de monteur-électricien de l’appelant.</w:t>
      </w:r>
    </w:p>
    <w:p>
      <w:r>
        <w:rPr>
          <w:b/>
        </w:rPr>
        <w:t>E. 6.5.2.1</w:t>
      </w:r>
    </w:p>
    <w:p>
      <w:r>
        <w:t>L’appelant expose qu’il est amené à utiliser son véhicule privé pour se rendre de son domicile vers différents sites d’intervention en se référant à une attestation établie par son employeur.</w:t>
      </w:r>
    </w:p>
    <w:p>
      <w:r>
        <w:t>- 31 -</w:t>
      </w:r>
    </w:p>
    <w:p>
      <w:r>
        <w:rPr>
          <w:b/>
        </w:rPr>
        <w:t>E. 6.5.2.2</w:t>
      </w:r>
    </w:p>
    <w:p>
      <w:r>
        <w:t>L’intimée relève quant à elle que l’attestation susmentionnée ne fait que confirmer que l’appelant est tenu d’utiliser son propre véhicule pour effectuer ses déplacements professionnels. Elle fait valoir que rien n’indique que ces frais de déplacement seraient à la charge de l’appelant. L’intimée expose en outre que l’appelant devrait se voir rembourser à hauteur de 0.60 fr. par kilomètre les frais de déplacement encourus, par référence à l’art. 34.1 de la CCT.</w:t>
      </w:r>
    </w:p>
    <w:p>
      <w:r>
        <w:rPr>
          <w:b/>
        </w:rPr>
        <w:t>E. 6.5.2.3</w:t>
      </w:r>
    </w:p>
    <w:p>
      <w:r>
        <w:t>En l’espèce, l’art. 34.1 de la CCT – applicable en l’espèce selon les arrêtés du Conseil fédéral des 15 septembre 2020 et 3 décembre 2024 – prévoit que lorsque le travailleur utilise un véhicule privé pour des déplacements de service avec l’accord explicite de l’employeur, il a droit à une indemnisation de 0.60 fr. par kilomètre. Selon l’art. 34.2, ces montants forfaitaires s’appliquent tant que l’entreprise n’applique pas de règlement des remboursements de frais agréé. Il n’est pas connu de l’autorité de céans si l’employeur de l’appelant dispose d’un règlement plus généreux que ce qui est prévu par la CCT. On retiendra donc que les frais de déplacement de l’appelant sont remboursés par l’employeur à hauteur de 0.60 fr. par kilomètre, ce qui correspond au forfait admis par la jurisprudence pour couvrir les frais d’essence, les primes d’assurance, le montant approprié pour l’entretien et l’amortissement (cf. TF 5A_532/2021 du 22 novembre 2021 consid. 3.4 ; TF 5A_779/2015 du 12 juillet 2016 consid. 5.3.3.2). Il n’y a dès lors pas lieu de retenir des frais de déplacement dans le budget de l’appelant dès le 1er juin 2025. S’agissant des frais de leasing, ceux-ci peuvent être admis pour les raisons déjà exposées en lien avec son précédent emploi. Ce leasing sert en effet à l’acquisition du revenu de l’appelant dans la mesure où celui-ci est amené à utiliser son véhicule privé dans l’exercice de sa profession, il n’apparaît pas coûteux et le besoin est rendu vraisemblable par le contrat y relatif et l’attestation de l’employeur qui a été produite.</w:t>
      </w:r>
    </w:p>
    <w:p>
      <w:r>
        <w:rPr>
          <w:b/>
        </w:rPr>
        <w:t>E. 6.6.1</w:t>
      </w:r>
    </w:p>
    <w:p>
      <w:r>
        <w:t>L’appelant fait ensuite grief à la première juge d’avoir écarté les frais de repas de ses charges.</w:t>
      </w:r>
    </w:p>
    <w:p>
      <w:r>
        <w:t>- 32 -</w:t>
      </w:r>
    </w:p>
    <w:p>
      <w:r>
        <w:rPr>
          <w:b/>
        </w:rPr>
        <w:t>E. 6.6.1.1</w:t>
      </w:r>
    </w:p>
    <w:p>
      <w:r>
        <w:t>Les Lignes directrices édictées le 1er juillet 2009 pour le calcul du minimum vital du droit des poursuites selon l’art. 93 LP (loi sur la poursuite pour dettes et la faillite) prévoient que les dépenses indispensables à l’exercice d’une profession doivent être prises en compte, en sus du montant de base mensuel, dans la mesure où l’employeur ne les prend pas à sa charge. En outre, la Convention nationale du secteur principal de la construction en Suisse 2023-2025 (ci- après : CN) stipule que l’employeur doit, dans la mesure du possible, veiller à la distribution de repas suffisante en lieu et place d’une indemnité en espèces. S’il n’est pas possible d’organiser une distribution de repas suffisante, ou si le travailleur ne peut pas retourner à son domicile lors de la pause de midi, il lui est dû une indemnité de repas de midi de 16 fr. au minimum, à titre de remboursement des frais encourus au sens des art. 327a et 327b CO (art. 60 al. 1 et 2 CN).</w:t>
      </w:r>
    </w:p>
    <w:p>
      <w:r>
        <w:rPr>
          <w:b/>
        </w:rPr>
        <w:t>E. 6.6.1.2</w:t>
      </w:r>
    </w:p>
    <w:p>
      <w:r>
        <w:t>En l’occurrence, s’agissant de l’emploi de maçon précédemment occupé par l’appelant, on déduit des fiches de salaire que l’employeur de l’appelant ne procédait pas à la distribution des repas en nature mais versait à ses employés une indemnité en espèces à hauteur de 17 fr. par repas. Il résulte de l’ordonnance entreprise que ces indemnités ont été incluses dans le revenu. Or, de deux choses l’une : soit il fallait tenir compte des indemnités de repas dans le revenu et alors retenir la charge correspondant aux frais d’acquisition du revenu y relative ; soit il fallait considérer que l’ensemble des frais d’acquisition du revenu y relatifs sont déjà couverts par l’indemnité relevant de la CN et alors ne pas prendre cette charge en compte en expliquant que l’employeur s’est déjà chargé des frais professionnels. Dès l’instant où les frais de repas ont été inclus dans le revenu, ils devaient être déduits des charges selon le forfait prévu par les Lignes directrices, à savoir 16 fr. 50 (11 fr. + le supplément de 5 fr. 50, cf. Lignes directrices ch. II let. a et b) par jour. Les frais de repas à prendre en compte s’élèvent ainsi à 358 fr. 05 (16 fr. 50 x 21,7 jours) pour la période du 1er décembre 2024 au 31 mai 2025.</w:t>
      </w:r>
    </w:p>
    <w:p>
      <w:r>
        <w:t>- 33 -</w:t>
      </w:r>
    </w:p>
    <w:p>
      <w:r>
        <w:rPr>
          <w:b/>
        </w:rPr>
        <w:t>E. 6.6.2</w:t>
      </w:r>
    </w:p>
    <w:p>
      <w:r>
        <w:t>Il convient ensuite de déterminer si des frais de repas doivent être retenus dans le cadre du nouvel emploi de l’appelant en tant que monteur-électricien.</w:t>
      </w:r>
    </w:p>
    <w:p>
      <w:r>
        <w:rPr>
          <w:b/>
        </w:rPr>
        <w:t>E. 6.6.2.1</w:t>
      </w:r>
    </w:p>
    <w:p>
      <w:r>
        <w:t>L’appelant fait valoir à cet égard qu’il s’agit d’un emploi physique et exigeant, si bien que des frais de repas à hauteur de 16 fr. 50 par jour devraient être retenus, soit 358 fr. 05 par mois.</w:t>
      </w:r>
    </w:p>
    <w:p>
      <w:r>
        <w:rPr>
          <w:b/>
        </w:rPr>
        <w:t>E. 6.6.2.2</w:t>
      </w:r>
    </w:p>
    <w:p>
      <w:r>
        <w:t>L’art. 33 de la CCT – applicable en l’espèce selon les arrêtés du Conseil fédéral des 15 septembre 2020 et 3 décembre 2024 – prévoit que le travailleur a droit au moins au remboursement des frais additionnels engendrés par la restauration, de 16 fr. par jour lorsque le retour pour le repas de midi n’est pas possible au lieu d’emploi/au domicile de l’entreprise ou à son propre domicile, lorsque l’employeur enjoint le travailleur de rester à midi sur le lieu de travail externe et lorsque le lieu de travail se trouve en-dehors d’une zone géographique où le trajet du lieu de travail au domicile de l’entreprise ou de l’employé prend plus de 20 minutes. Il ressort de ce qui précède que les frais de repas doivent être pris en charge par l’employeur de l’appelant lorsque celui-ci n’a pas la possibilité de rentrer chez lui pour se restaurer. Il n’y a dès lors pas lieu de retenir des frais de repas dans les charges de l’intéressé dès le 1er juin 2025.</w:t>
      </w:r>
    </w:p>
    <w:p>
      <w:r>
        <w:rPr>
          <w:b/>
        </w:rPr>
        <w:t>E. 6.7.1</w:t>
      </w:r>
    </w:p>
    <w:p>
      <w:r>
        <w:t>L’appelant reproche enfin à la première juge de n’avoir pas tenu compte de l’augmentation du montant des allocations familiales en vigueur depuis le 1er janvier 2025.</w:t>
      </w:r>
    </w:p>
    <w:p>
      <w:r>
        <w:rPr>
          <w:b/>
        </w:rPr>
        <w:t>E. 6.7.2</w:t>
      </w:r>
    </w:p>
    <w:p>
      <w:r>
        <w:t>Le grief de l’appelant doit être admis. Conformément à l’art. 1 let. a et c de l’arrêté sur l'indexation des allocations familiales au titre de mesure d'accompagnement pour atténuer les conséquences de l'inflation du 9 octobre 2024 (AIAFam ; BLV 836.01.1.4), le montant des allocations familiales s’élève à 322 fr. pour F.________ et R.________, et à 365 fr. pour I.________. Il sera tenu compte de ces montants pour le mois de décembre 2024 également, la faible différence et la brièveté de la période concernée</w:t>
      </w:r>
    </w:p>
    <w:p>
      <w:r>
        <w:t>- 34 - ne justifiant pas l’établissement d’une nouvelle période de calcul pour le mois de décembre uniquement (cf. TC FR 101 2022 223 du 9 janvier 2023 ; Juge unique CACI 21 mai 2025/230 consid. 8.1.5).</w:t>
      </w:r>
    </w:p>
    <w:p>
      <w:r>
        <w:rPr>
          <w:b/>
        </w:rPr>
        <w:t>E. 6.8.1</w:t>
      </w:r>
    </w:p>
    <w:p>
      <w:r>
        <w:t>L’intimée allègue des frais de 497 fr. relatifs à l’accueil parascolaire pour l’enfant I.________.</w:t>
      </w:r>
    </w:p>
    <w:p>
      <w:r>
        <w:rPr>
          <w:b/>
        </w:rPr>
        <w:t>E. 6.8.2</w:t>
      </w:r>
    </w:p>
    <w:p>
      <w:r>
        <w:t>Ces frais ne peuvent être admis dans la mesure où l’intimée est actuellement sans emploi et qu’aucun revenu hypothétique ne lui est imputé compte tenu du fait qu’elle a trois enfants dont un en bas âge. Elle est ainsi pleinement disponible pour s’occuper d’I.________, de sorte qu’un accueil parascolaire ne se justifie pas, du moins pas du point de vue financier dans le cadre de la détermination de l’entretien de l’enfant concernée.</w:t>
      </w:r>
    </w:p>
    <w:p>
      <w:r>
        <w:rPr>
          <w:b/>
        </w:rPr>
        <w:t>E. 6.9</w:t>
      </w:r>
    </w:p>
    <w:p>
      <w:r>
        <w:t>Enfin, au vu de la situation financière des parties, il y a lieu de s’en tenir au minimum vital LP strict. Dès lors, les frais allégués par les parties relevant du minimum vital du droit de la famille ne seront pas retenus, à savoir notamment les frais d’école portugaise et les frais « Jeunesse School » pour les enfants, ainsi que les primes LCA. Il en va de même des frais relatifs à la garantie de loyer allégués par l’appelant, qui ne font pas partie du minimum vital LP.</w:t>
      </w:r>
    </w:p>
    <w:p>
      <w:r>
        <w:rPr>
          <w:b/>
        </w:rPr>
        <w:t>E. 6.10</w:t>
      </w:r>
    </w:p>
    <w:p>
      <w:r>
        <w:t>Au vu de ce qui précède et compte tenu des charges retenues par la première juge et non contestées par les parties, la situation de celles-ci et de leurs enfants F.________, R.________ et I.________ est résumée dans les tableaux ci-dessous :</w:t>
      </w:r>
    </w:p>
    <w:p>
      <w:r>
        <w:t>- 35 -</w:t>
      </w:r>
    </w:p>
    <w:p>
      <w:r>
        <w:rPr>
          <w:b/>
        </w:rPr>
        <w:t>E. 6.10.1</w:t>
      </w:r>
    </w:p>
    <w:p>
      <w:r>
        <w:t>Du 1er décembre 2024 au 31 mars 2025 ADULTE 1 (resp. PARENT GARDIEN) MADAME revenu de l'activité professionnelle revenus accessoires autres revenus (rendements de la fortune, rentes, etc.) REVENUS fr. 0.00 base mensuelle selon normes OPF fr. 1'350.00 frais de logement (raisonnables) fr. 1'780.00 - év. participation enfant(s) fr. -534.00 charge finale de logement fr. 1'246.00 prime d'assurance-maladie (base) frais médicaux non-remboursés fr. 105.00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2'701.00 impôts (ICC / IFD) - év. participation enfant(s)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2'701.00 DECOUVERT / DISPONIBLE - 2'701.00</w:t>
      </w:r>
    </w:p>
    <w:p>
      <w:r>
        <w:t>- 36 - ADULTE 2 (resp. PARENT NON GARDIEN) MONSIEUR fr. revenu de l'activité professionnelle 4'828.30 revenus accessoires autres revenus (rendements de la fortune, rentes, etc.) fr. REVENUS 4'828.30 fr. base mensuelle selon normes OPF 1'200.00 fr. frais de logement (raisonnables) 1'780.00 - - droit de visite (MV LP) fr. prime d'assurance-maladie (base) 115.05 fr. frais médicaux non-remboursés 92.70 autres cotisations sociales fr. frais de repas pris hors du domicile 358.05 frais de déplacement (domicile &lt;--&gt; lieu de fr. travail) 789.20 autres dépenses professionnelles dépenses pour objets de stricte nécessité (contribution d'entretien / entretien en faveur de tiers) fr. CHARGES DU MINIMUM VITAL LP 4'335.00 impôts (ICC / IFD) - - - - impôt sur la fortune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4'335.00</w:t>
      </w:r>
    </w:p>
    <w:p>
      <w:r>
        <w:t>- 37 - DECOUVERT / DISPONIBLE fr. 493.30 ENFANTS MINEURS F.________ R.________ I.________ fr. fr. fr. base mensuelle selon normes OPF 600.00 600.00 400.00 part. aux frais logement du parent fr. fr. fr. 10% gardien 178.00 178.00 178.00 prime d'assurance-maladie (base) fr. fr. fr. frais médicaux non remboursés</w:t>
      </w:r>
    </w:p>
    <w:p>
      <w:r>
        <w:rPr>
          <w:b/>
        </w:rPr>
        <w:t>E. 6.10.2</w:t>
      </w:r>
    </w:p>
    <w:p>
      <w:r>
        <w:t>Du 1er avril au 30 avril 2025 Pour cette période, le revenu et les charges de l’appelant sont inchangés, tandis que les frais de logement de l’intimée et des enfants ont légèrement augmenté (de 1'780 fr. à 1'940 fr. de loyer). Toutefois, dès lors que le disponible de l’appelant n’a pas augmenté et qu’il ne doit pas être atteint à son minimum vital LP, la contribution à l’entretien de ses filles restera fixée à la même hauteur, soit à 170 fr., montant arrondi, pour F.________ et R.________ et à 150 fr., montant arrondi, pour I.________.</w:t>
      </w:r>
    </w:p>
    <w:p>
      <w:r>
        <w:t>- 39 -</w:t>
      </w:r>
    </w:p>
    <w:p>
      <w:r>
        <w:rPr>
          <w:b/>
        </w:rPr>
        <w:t>E. 6.10.3</w:t>
      </w:r>
    </w:p>
    <w:p>
      <w:r>
        <w:t>Du 1er mai au 31 mai 2025 ADULTE 1 (resp. PARENT GARDIEN) MADAME revenu de l'activité professionnelle revenus accessoires autres revenus (rendements de la fortune, rentes, etc.) fr. REVENUS 0.00 fr. base mensuelle selon normes OPF 1'350.00 fr. frais de logement (raisonnables) 1'940.00 fr. - - év. participation enfant(s) 582.00 fr. charge finale de logement 1'358.00 prime d'assurance-maladie (base) fr. frais médicaux non-remboursés 105.00 autres cotisations sociales frais de repas pris hors du domicile frais de déplacement (domicile &lt;--&gt; lieu de travail) autres dépenses professionnelles dépenses pour objets de stricte nécessité (contribution d'entretien / entretien en faveur de tiers) fr. CHARGES DU MINIMUM VITAL LP 2'813.00 impôts (ICC / IFD)</w:t>
      </w:r>
    </w:p>
    <w:p>
      <w:r>
        <w:t>- 40 - - év. participation enfant(s)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2'813.00 fr. - DECOUVERT / DISPONIBLE 2'813.00 ADULTE 2 (resp. PARENT NON GARDIEN) MONSIEUR fr. revenu de l'activité professionnelle 4'828.30 revenus accessoires autres revenus (rendements de la fortune, rentes, etc.) fr. REVENUS 4'828.30 fr. base mensuelle selon normes OPF 1'200.00 fr. frais de logement (raisonnables) 1'200.00 - - droit de visite (MV LP) fr. prime d'assurance-maladie (base) 115.05 fr. frais médicaux non-remboursés 92.70 autres cotisations sociales fr. frais de repas pris hors du domicile 358.05 frais de déplacement (domicile &lt;--&gt; lieu de fr. travail) 789.20 autres dépenses professionnelles dépenses pour objets de stricte nécessité</w:t>
      </w:r>
    </w:p>
    <w:p>
      <w:r>
        <w:t>- 41 - (contribution d'entretien / entretien en faveur de tiers) fr. CHARGES DU MINIMUM VITAL LP 3'755.00 impôts (ICC / IFD) - - - - impôt sur la fortune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3'755.00 DECOUVERT / DISPONIBLE fr. 1'073.30 ENFANT(S) MINEUR(S) F.________ R.________ I.________ fr. fr. fr. base mensuelle selon normes OPF 600.00 600.00 400.00 part. aux frais logement du parent fr. fr. fr. 10% gardien 194.00 194.00 194.00 prime d'assurance-maladie (base) fr. fr. fr. frais médicaux non remboursés</w:t>
      </w:r>
    </w:p>
    <w:p>
      <w:r>
        <w:rPr>
          <w:b/>
        </w:rPr>
        <w:t>E. 6.10.4</w:t>
      </w:r>
    </w:p>
    <w:p>
      <w:r>
        <w:t>Du 1er juin au 31 décembre 2025 ADULTE 1 (resp. PARENT GARDIEN) MADAME revenu de l'activité professionnelle revenus accessoires autres revenus (rendements de la fortune, rentes, etc.)</w:t>
      </w:r>
    </w:p>
    <w:p>
      <w:r>
        <w:t>- 43 - fr. REVENUS 0.00 fr. base mensuelle selon normes OPF 1'350.00 fr. frais de logement (raisonnables) 1'940.00 fr. - - év. participation enfant(s) 582.00 fr. charge finale de logement 1'358.00 prime d'assurance-maladie (base) fr. frais médicaux non-remboursés 105.00 autres cotisations sociales frais de repas pris hors du domicile frais de déplacement (domicile &lt;--&gt; lieu de travail) autres dépenses professionnelles dépenses pour objets de stricte nécessité (contribution d'entretien / entretien en faveur de tiers) fr. CHARGES DU MINIMUM VITAL LP 2'813.00 impôts (ICC / IFD) - év. participation enfant(s)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2'813.00 fr. - DECOUVERT / DISPONIBLE 2'813.00 ADULTE 2 (resp. PARENT NON GARDIEN) MONSIEUR fr. revenu de l'activité professionnelle 4'828.30</w:t>
      </w:r>
    </w:p>
    <w:p>
      <w:r>
        <w:t>- 44 - revenus accessoires autres revenus (rendements de la fortune, rentes, etc.) fr. REVENUS 4'828.30 fr. base mensuelle selon normes OPF 1'200.00 fr. frais de logement (raisonnables) 1'200.00 - - droit de visite (MV LP) fr. prime d'assurance-maladie (base) 115.05 fr. frais médicaux non-remboursés 92.70 autres cotisations sociales frais de repas pris hors du domicile frais de déplacement (domicile &lt;--&gt; lieu de fr. travail) 401.30 autres dépenses professionnelles dépenses pour objets de stricte nécessité (contribution d'entretien / entretien en faveur de tiers) fr. CHARGES DU MINIMUM VITAL LP 3'009.05 impôts (ICC / IFD) - - - - impôt sur la fortune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3'009.05 DECOUVERT / DISPONIBLE fr. 1'819.25</w:t>
      </w:r>
    </w:p>
    <w:p>
      <w:r>
        <w:t>- 45 - ENFANT(S) MINEUR(S) F.________ R.________ I.________ fr. fr. fr. base mensuelle selon normes OPF 600.00 600.00 400.00 part. aux frais logement du parent fr. fr. fr. 10% gardien 194.00 194.00 194.00 prime d'assurance-maladie (base) fr. fr. fr. frais médicaux non remboursés</w:t>
      </w:r>
    </w:p>
    <w:p>
      <w:r>
        <w:rPr>
          <w:b/>
        </w:rPr>
        <w:t>E. 6.10.5</w:t>
      </w:r>
    </w:p>
    <w:p>
      <w:r>
        <w:t>Dès le 1er janvier 2026 ADULTE 1 (resp. PARENT GARDIEN) MADAME revenu de l'activité professionnelle revenus accessoires autres revenus (rendements de la fortune, rentes, etc.) fr. REVENUS 0.00 fr. base mensuelle selon normes OPF 1'350.00 fr. frais de logement (raisonnables) 1'940.00 fr. - - év. participation enfant(s) 582.00 fr. charge finale de logement 1'358.00 prime d'assurance-maladie (base) fr. frais médicaux non-remboursés 105.00 autres cotisations sociales frais de repas pris hors du domicile frais de déplacement (domicile &lt;--&gt; lieu de travail) autres dépenses professionnelles dépenses pour objets de stricte nécessité (contribution d'entretien / entretien en faveur de tiers) fr. CHARGES DU MINIMUM VITAL LP 2'813.00 impôts (ICC / IFD) - év. participation enfant(s) charge fiscale finale impôt sur la fortune frais de logement (effectifs) - év. participation enfant(s) charge de logement finale (effective)</w:t>
      </w:r>
    </w:p>
    <w:p>
      <w:r>
        <w:t>- 47 -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2'813.00 fr. - DECOUVERT / DISPONIBLE 2'813.00 ADULTE 2 (resp. PARENT NON GARDIEN) MONSIEUR fr. revenu de l'activité professionnelle 4'880.40 revenus accessoires autres revenus (rendements de la fortune, rentes, etc.) fr. REVENUS 4'880.40 fr. base mensuelle selon normes OPF 1'200.00 fr. frais de logement (raisonnables) 1'200.00 - - droit de visite (MV LP) fr. prime d'assurance-maladie (base) 115.05 fr. frais médicaux non-remboursés 92.70 autres cotisations sociales frais de repas pris hors du domicile frais de déplacement (domicile &lt;--&gt; lieu de fr. travail) 401.30 autres dépenses professionnelles dépenses pour objets de stricte nécessité (contribution d'entretien / entretien en faveur de tiers) fr. CHARGES DU MINIMUM VITAL LP 3'009.05 impôts (ICC / IFD) - - - - impôt sur la fortune</w:t>
      </w:r>
    </w:p>
    <w:p>
      <w:r>
        <w:t>- 48 -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3'009.05 DECOUVERT / DISPONIBLE fr. 1'871.35 ENFANT(S) MINEUR(S) F.________ R.________ I.________ fr. fr. fr. base mensuelle selon normes OPF 600.00 600.00 400.00 part. aux frais logement du parent fr. fr. fr. 10% gardien 194.00 194.00 194.00 prime d'assurance-maladie (base) fr. fr. fr. frais médicaux non remboursés</w:t>
      </w:r>
    </w:p>
    <w:p>
      <w:r>
        <w:rPr>
          <w:b/>
        </w:rPr>
        <w:t>E. 6.11</w:t>
      </w:r>
    </w:p>
    <w:p>
      <w:r>
        <w:t>L’enfant I.________ étant née le [...] 2022, elle sera scolarisée dès la rentrée scolaire 2027-2028. A cette date, il pourra a priori être attendu de l’intimée qu’elle occupe un emploi à temps partiel (50%). Toutefois, il appartiendra aux parties de faire valoir tout changement budgétaire lié à cette circonstance et à l’autorité de première instance d’instruire en conséquence, dès lors que l’autorité d’appel de céans n’est pas saisie de cette problématique et pas renseignée sur la formation professionnelle éventuelle de l’intimée.</w:t>
      </w:r>
    </w:p>
    <w:p>
      <w:r>
        <w:rPr>
          <w:b/>
        </w:rPr>
        <w:t>E. 7.1</w:t>
      </w:r>
    </w:p>
    <w:p>
      <w:r>
        <w:t>L’appelant conteste l’interdiction de périmètre et de contact avec l’intimée prononcée à son encontre. Il soutient que ces deux interdictions ne reposent sur aucun fondement autre que les déclarations de l’intimée, qu’elles émanent d’elle-même ou des enfants F.________ et</w:t>
      </w:r>
    </w:p>
    <w:p>
      <w:r>
        <w:t>- 50 - R.________, dont l’appelant expose qu’elles seraient soumises à une potentielle aliénation parentale. Ces interdictions ne seraient dès lors pas justifiées.</w:t>
      </w:r>
    </w:p>
    <w:p>
      <w:r>
        <w:rPr>
          <w:b/>
        </w:rPr>
        <w:t>E. 7.2</w:t>
      </w:r>
    </w:p>
    <w:p>
      <w:r>
        <w:t>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(Peyrot, Commentaire romand, CC I, 2e éd. Bâle 2023, n. 3 ad art. 28b CC et les réf. citées). Lorsqu’il ordonne des mesures de protection, le juge – qui dispose d’un pouvoir d’appréciation étendu – doit tenir compte du principe de proportionnalité, étant donné qu’elles sont susceptibles de heurter les droits fondamentaux de l’auteur de l’atteinte (art. 5 al. 2 et art. 36 al. 3 Cst).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(ATF 144 III 257 consid. 4.3.3 et les réf. citées ; TF 5A_192/2021 du 18 novembre 2021 consid. 6.1 ; Juge unique CACI 11 mars 2024/113).</w:t>
      </w:r>
    </w:p>
    <w:p>
      <w:r>
        <w:t>- 51 -</w:t>
      </w:r>
    </w:p>
    <w:p>
      <w:r>
        <w:rPr>
          <w:b/>
        </w:rPr>
        <w:t>E. 7.3</w:t>
      </w:r>
    </w:p>
    <w:p>
      <w:r>
        <w:t>La première juge a relevé que l’intimée avait fait part de ses craintes face à l’attitude de l’appelant. Celui-ci se montrerait dénigrant, menaçant et violent psychologiquement, tant envers son épouse qu’envers ses filles et c’est pour ces raisons que l’intimée s’était rendue au Centre MalleyPrairie. La présidente a en outre rappelé que des mesures d’éloignement et d’interdiction de contacts avaient été ordonnées par ordonnance de mesures provisionnelles du 21 janvier 2025 ensuite d’un événement survenu dans un centre commercial le 8 janvier 2025, qui aurait donné lieu à une plainte pénale. Bien que les versions des parties divergent à ce sujet, l’intimée semblait inquiète quant au futur comportement de l’appelant. Dans la mesure où les relations entre les parties demeuraient tendues, la première juge a considéré qu’il convenait en l’état de maintenir les interdictions de périmètre et de contacts.</w:t>
      </w:r>
    </w:p>
    <w:p>
      <w:r>
        <w:rPr>
          <w:b/>
        </w:rPr>
        <w:t>E. 7.4</w:t>
      </w:r>
    </w:p>
    <w:p>
      <w:r>
        <w:t>Il ressort de l’instruction, en particulier de l’audition de partie de l’intimée et des pièces au dossier, que l’intimée a peur de l’appelant au point d’avoir des réactions physiques de panique quand elle le croise. Bien qu’il s’en défende, l’appelant adopte un coté menaçant avec elle, notamment au travers d’une vidéo où il la menace « de bruler en enfer » en brulant un objet à l’aide d’un chalumeau. Il a également évoqué devant l’une de ses amies un féminicide s’étant déroulé à MalleyPrairie, ce qui est actuellement l’objet d’une instruction pénale à la suite d’une plainte déposée par l’intimée. Celle-ci a en outre jugé nécessaire de se réfugier à MalleyPrairie pour mettre à l’abri ses filles et elle. Compte tenu de ce qui précède, le caractère potentiellement menaçant et violent de l’appelant est suffisamment rendu vraisemblable et l’interdiction de périmètre et de contacts apparaît justifiée. Le grief doit dès lors être rejeté.</w:t>
      </w:r>
    </w:p>
    <w:p>
      <w:r>
        <w:rPr>
          <w:b/>
        </w:rPr>
        <w:t>E. 8.1</w:t>
      </w:r>
    </w:p>
    <w:p>
      <w:r>
        <w:t>En définitive, l’appel doit être partiellement admis et le dispositif de l’ordonnance entreprise réformé dans le sens des considérants qui précèdent.</w:t>
      </w:r>
    </w:p>
    <w:p>
      <w:r>
        <w:rPr>
          <w:b/>
        </w:rPr>
        <w:t>E. 8.2</w:t>
      </w:r>
    </w:p>
    <w:p>
      <w:r>
        <w:t>- 52 -</w:t>
      </w:r>
    </w:p>
    <w:p>
      <w:r>
        <w:rPr>
          <w:b/>
        </w:rPr>
        <w:t>E. 8.2.1</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w:t>
      </w:r>
    </w:p>
    <w:p>
      <w:r>
        <w:rPr>
          <w:b/>
        </w:rPr>
        <w:t>E. 8.2.2</w:t>
      </w:r>
    </w:p>
    <w:p>
      <w:r>
        <w:t>Aucuns frais judiciaires n’étant perçus en première instance dans les procédures de mesures protectrices de l’union conjugale, il n’y a pas lieu de statuer à nouveau sur lesdits frais (art. 37 al. 3 CDPJ [Code de droit privé judiciaires vaudois ; BLV 211.02]). S’agissant des dépens de première instance, vu la nature du litige (art. 107 al. 1 let. c CPC), les dépens de première instance peuvent être compensés.</w:t>
      </w:r>
    </w:p>
    <w:p>
      <w:r>
        <w:rPr>
          <w:b/>
        </w:rPr>
        <w:t>E. 8.3</w:t>
      </w:r>
    </w:p>
    <w:p>
      <w:r>
        <w:t>En deuxième instance, l’appelant obtient gain de cause sur la mise en œuvre d’un mandat d’évaluation par l’UEMS. Il obtient partiellement gain de cause s’agissant du droit de visite, dès lors qu’un droit de visite médiatisé est mis en place pour sa fille cadette. S’agissant des pensions, il obtient gain de cause pour les contributions d’entretien dues en faveur de ses enfants pour la période du 1er décembre 2024 au 30 avril 2025, partiellement gain de cause pour celles dues du 1er au 31 mai 2025 et succombe pour les suivantes. Il succombe également sur la question de l’interdiction de périmètre et de contact avec l’intimée prononcée à son encontre. Dans ces conditions, il se justifie de répartir les frais judiciaires de deuxième instance par moitié entre les parties (art. 106 al. 2 CPC). Les frais judiciaires de deuxième instance, arrêtés à 1'000 fr. au total, soit 600 fr. d’émolument de base pour l’appel (art. 65 al. 2 TFJC [tarif des frais judiciaires civils du 28 septembre 2010 ; BLV 270.11.5]) et 200 fr. pour chacune des ordonnances d’effet suspensif (art. 7 et 60 TFJC),</w:t>
      </w:r>
    </w:p>
    <w:p>
      <w:r>
        <w:t>- 53 - seront mis à la charge de chaque partie, par 500 fr., les frais en question étant supportés provisoirement par l’Etat compte tenu de l’assistance judiciaire qui est accordée aux deux parties dans la présente procédure (art. 122 al. 1 let. b CPC ; cf. consid. 11.4 infra). Il y a en outre lieu de compenser les dépens de deuxième instance.</w:t>
      </w:r>
    </w:p>
    <w:p>
      <w:r>
        <w:rPr>
          <w:b/>
        </w:rPr>
        <w:t>E. 8.4.1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 stagiaire (art. 2 al. 1 let. a et b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w:t>
      </w:r>
    </w:p>
    <w:p>
      <w:r>
        <w:t>- 54 -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w:t>
      </w:r>
    </w:p>
    <w:p>
      <w:r>
        <w:rPr>
          <w:b/>
        </w:rPr>
        <w:t>E. 8.4.2.1</w:t>
      </w:r>
    </w:p>
    <w:p>
      <w:r>
        <w:t>Me Florian Girardoz, conseil d’office de l’appelant, a produit une liste des opérations faisant état de 15 heures 30 d’activités déployées dans le cadre de la procédure d’appel. Le décompte présenté apparaît justifié et peut être admis. Ainsi, l’indemnité de Me Florian Girardoz doit être arrêtée à 2'790 fr. (180 fr. x 15h30), montant auquel s’ajoutent les débours forfaitaires de 2 % (art. 3bis RAJ), par 55 fr. 80, la vacation, par 120 fr., la TVA (8,1%) sur le tout par 240 fr. 25, soit un montant total de 3'206 fr. 05, arrondi à 3'206 francs.</w:t>
      </w:r>
    </w:p>
    <w:p>
      <w:r>
        <w:rPr>
          <w:b/>
        </w:rPr>
        <w:t>E. 8.4.2.2</w:t>
      </w:r>
    </w:p>
    <w:p>
      <w:r>
        <w:t>Me Laurinda Konde, conseil d’office de l’intimée, a produit une liste des opérations faisant état de 23 heures 47 d’activités déployées dans le cadre de la procédure d’appel, dont 3 heures par une avocate- stagiaire. Le décompte présenté apparaît justifié et peut être admis. Ainsi, l’indemnité de Me Laurinda Konde doit être arrêtée à 4'071 fr. ([180 fr. x 20h47] + [110 fr. x 3h00), montant auquel s’ajoutent les débours forfaitaires de 2 % (art. 3bis RAJ), par 81 fr. 40, la vacation, par 120 fr., la TVA (8,1%) sur le tout par 346 fr. 05, soit un montant total de 4'618 fr. 45, arrondi à 4'618 francs.</w:t>
      </w:r>
    </w:p>
    <w:p>
      <w:r>
        <w:t>- 55 -</w:t>
      </w:r>
    </w:p>
    <w:p>
      <w:r>
        <w:rPr>
          <w:b/>
        </w:rPr>
        <w:t>E. 8.4.3</w:t>
      </w:r>
    </w:p>
    <w:p>
      <w:r>
        <w:t>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Par ces motifs, la Juge unique de la Cour d’appel civile prononce : I. L’appel est partiellement admis, dans la mesure où il n’est pas devenu sans objet. II. Le dispositif de l’ordonnance de mesures protectrices de l’union conjugale rendue le 10 mars 2025 par la Présidente du Tribunal civil de l’arrondissement de Lausanne est réformé aux chiffres VI à XII de son dispositif et par l’ajout des chiffres VIbis, VIter, VIquater et VIquinquies, comme il suit : VI. dit qu’aucun droit de visite n’est en l’état fixé en faveur de Q.________ sur ses enfants F.________, née le [...] 2010, et R.________, née le [...] 2012 ; VIbis. L’appelant Q.________ exercera son droit aux relations personnelles avec sa fille I.________, née le [...] 2022, par l’intermédiaire de Point Rencontre, selon le calendrier et</w:t>
      </w:r>
    </w:p>
    <w:p>
      <w:r>
        <w:t>- 56 - conformément aux règlement et principes de fonctionnement de cette institution, sans possibilité de sortir des locaux, à raison de deux heures consécutives deux fois par mois. VIter. Les parties sont enjointes de prendre contact immédiatement avec Point Rencontre, pour la mise en œuvre du droit de visite et à entreprendre toutes les démarches nécessaires pour l’exercice de ce droit. VIquater. confie à l'Unité d'évaluation et missions spécifiques (UEMS) de la Direction générale de l'enfance et de la jeunesse (DGEJ) un mandat d'évaluer la capacité des parents Q.________ et A.________ à prendre respectivement en charge leurs enfants F.________, R.________ et I.________ en tenant compte de leurs besoins émotionnels et psychiques, et de formuler toute proposition concernant la garde des enfants, l’organisation des visites ainsi que la forme qu’elles prendraient, ainsi que de toute mesure de protection des mineurs pouvant s’avérer nécessaire, même déjà en cours d’évaluation ; VIquinquies. charge la Justice de paix du district de Lausanne de la mise en œuvre et du suivi de la mesure prévue au chiffre VIquater ; VII. constate que le montant assurant l’entretien convenable de F.________, née le [...] 2010, s’élève à 1'360 fr. (mille trois cent soixante francs) par mois pour la période allant du 1er décembre 2024 au 31 mars 2025, et à 1'410 fr. (mille quatre cent dix francs) par mois dès le 1er avril 2025 ; VIII. constate que le montant assurant l’entretien convenable de R.________, née le [...] 2012, s’élève à 1'360 fr. (mille trois cent soixante francs) par mois pour la période allant du 1er décembre 2024 au 31 mars 2025, et à 1'420 fr. (mille quatre cent vingt francs) par mois dès le 1er avril 2025 ;</w:t>
      </w:r>
    </w:p>
    <w:p>
      <w:r>
        <w:t>- 57 - IX. constate que le montant assurant l’entretien convenable d’I.________, née le [...] 2022, s’élève à 1'120 fr. (mille cent vingt francs) par mois pour la période allant du 1er décembre 2024 au 31 mars 2025, et à 1'170 fr. (mille cent septante francs) par mois dès le 1er avril 2025 ; X. dit que Q.________ contribuera à l’entretien de sa fille F.________, née le [...] 2010, par le régulier versement, d’avance le premier jour de chaque mois en mains d’A.________, d’une pension mensuelle, allocations familiales non comprises et dues en sus, de : - 170 fr. (cent septante francs) par mois, pour la période du 1er décembre 2024 au 30 avril 2025 ; - 375 fr. (trois cent septante-cinq francs) par mois, pour la période du 1er mai au 31 mai 2025 ; - 635 fr. (six cent trente-cinq francs) par mois, pour la période du 1er juin au 31 décembre 2025 ; - 655 fr. (six cent cinquante-cinq francs) par mois, dès le 1er janvier 2026 ; XI. dit que Q.________ contribuera à l’entretien de sa fille R.________, née le [...] 2012, par le régulier versement, d’avance le premier jour de chaque mois en mains d’A.________, d’une pension mensuelle, allocations familiales non comprises et dues en sus, de : - 170 fr. (cent septante francs) par mois, pour la période du 1er décembre 2024 au 30 avril 2025 ; - 375 fr. (trois cent septante-cinq francs) par mois, pour la période du 1er mai au 31 mai 2025 ; - 635 fr. (six cent trente-cinq francs) par mois, pour la période du 1er juin au 31 décembre 2025 ;</w:t>
      </w:r>
    </w:p>
    <w:p>
      <w:r>
        <w:t>- 58 - - 655 fr. (six cent cinquante-cinq francs) par mois, dès le 1er janvier 2026 ; XII. dit que Q.________ contribuera à l’entretien de sa fille I.________, née le [...] 2022, par le régulier versement, d’avance le premier jour de chaque mois en mains d’A.________, d’une pension mensuelle, allocations familiales non comprises et dues en sus, de : - 150 fr. (cent cinquante francs) par mois, pour la période du 1er décembre 2024 au 30 avril 2025 ; - 320 fr. (trois cent vingt francs) par mois, pour la période du 1er mai au 31 mai 2025 ; - 545 fr. (cinq cent quarante-cinq francs) par mois, pour la période du 1er juin au 31 décembre 2025 ; - 560 fr. (cinq cent soixante francs) par mois, dès le 1er janvier 2026 ; L’ordonnance de mesures protectrices de l’union conjugale est confirmée pour le surplus. III. Les frais judiciaires de deuxième instance, arrêtés à 1'000 fr., sont provisoirement laissés à la charge de l’Etat pour l’appelant Q.________ par 500 fr. (cinq cents francs), et respectivement pour l’intimée A.________ par 500 fr. (cinq cents francs). IV. L’indemnité de Me Florian Girardoz, conseil d’office de Q.________, est arrêtée à 3'206 fr. (trois mille deux cent six francs), débours, frais de vacation et TVA compris. V. L’indemnité de Me Laurinda Konde, conseil d’office d’A.________, est arrêtée à 4'618 fr. (quatre mille six cent dix- huit francs), débours, frais de vacation et TVA compris.</w:t>
      </w:r>
    </w:p>
    <w:p>
      <w:r>
        <w:t>- 59 - VI. Les bénéficiaires de l’assistance judiciaire sont tenus au remboursement de leur part aux frais judiciaires de deuxième instance et de l’indemnité allouée à leur conseil d’office respectif, provisoirement laissées à la charge de l’Etat, dès qu’ils seront en mesure de le faire. La juge unique : La greffière : Du Le présent arrêt, dont la rédaction a été approuvée à huis clos, est notifié en expédition complète à : - Me Florian Girardoz (pour Q.________), - Me Laurinda Konde (pour A.________) et communiqué, par l'envoi de photocopies, à : - Mme la Présidente du Tribunal civil de l’arrondissement de Lausanne, - Mme la Juge de paix du district de Lausanne, - l’Unité d'évaluation et missions spécifiques (UEMS) de la Direction générale de l'enfance et de la jeunesse (DGEJ). Un extrait du présent arrêt est adressé à : ‑ F.________, née le [...] 2010, - le Point Rencontre (Fondation Jeunesse &amp; Familles).</w:t>
      </w:r>
    </w:p>
    <w:p>
      <w:r>
        <w:t>- 60 -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