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JS24.055299 vom 28. April 2026</w:t>
      </w:r>
    </w:p>
    <w:p>
      <w:r>
        <w:t>VD Tribunal cantonal, 2026-04-28, FR</w:t>
      </w:r>
    </w:p>
    <w:p>
      <w:r>
        <w:rPr>
          <w:b/>
        </w:rPr>
        <w:t xml:space="preserve">Quelle: </w:t>
      </w:r>
      <w:r>
        <w:t>https://mcp.opencaselaw.ch/entscheid/vd_gerichte_JS24.055299</w:t>
      </w:r>
    </w:p>
    <w:p>
      <w:r>
        <w:t>FR: VD_GERICHTE JS24.055299 du 28 avril 2026</w:t>
      </w:r>
    </w:p>
    <w:p>
      <w:r>
        <w:t>IT: VD_GERICHTE JS24.055299 del 28 aprile 2026</w:t>
      </w:r>
    </w:p>
    <w:p>
      <w:pPr>
        <w:pStyle w:val="Heading2"/>
      </w:pPr>
      <w:r>
        <w:t>Erwägungen</w:t>
      </w:r>
    </w:p>
    <w:p>
      <w:r>
        <w:rPr>
          <w:b/>
        </w:rPr>
        <w:t>E. 4.1</w:t>
      </w:r>
    </w:p>
    <w:p>
      <w:r>
        <w:t>L'appelant reproche à la présidente de ne pas avoir imputé un revenu hypothétique à l'épouse, estimant qu'au vu de l’entrée de l'enfant cadet L.________ en secondaire en août 2021 déjà et de l'absence d'handicap de leur fils, celle-ci devait reprendre une activité lucrative à 80 % en août 2024, puis à 100 % dès les 16 ans révolus de L.________ le *** 2025. S’agissant des différentes périodes distinguées par l’ordonnance entreprise, il précise toutefois qu’il n’est pas « opposé à ce mode de procéder ».</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l 89, FamPra.ch 2017 p. 822 ; TF 5A_268/2025 du 12 août 2025 consid. 5.1).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19J005</w:t>
      </w:r>
    </w:p>
    <w:p>
      <w:r>
        <w:t>- 12 -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SJ 2021 l 328, FamPra. ch 2021 p. 411 ; ATF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5A_268/2025 précité consid. 5.1 ; TF 5A_747/2023 du 26 mai 2025 consid. 3.1.2).</w:t>
      </w:r>
    </w:p>
    <w:p>
      <w:r>
        <w:rPr>
          <w:b/>
        </w:rPr>
        <w:t>E. 4.2.2</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ATF 144 III 481 consid. 4.7.6).</w:t>
      </w:r>
    </w:p>
    <w:p>
      <w:r>
        <w:rPr>
          <w:b/>
        </w:rPr>
        <w:t>E. 4.3.1</w:t>
      </w:r>
    </w:p>
    <w:p>
      <w:r>
        <w:t>Dans l'ordonnance entreprise, la présidente a retenu s'agissant de la situation professionnelle de l’intimée, que celle-ci exerçait en qualité de femme de ménage et qu'au jour du dépôt de sa requête de mesures protectrices de l'union conjugale, elle travaillait auprès de plusieurs employeurs différents, c’est-à-dire G.________ Sàrl, P.________ Sàrl et C.________ , percevant, selon son certificat de salaire 2023, un revenu mensuel net global de 995 fr. et en 2024 un revenu mensuel net de l'ordre de 1'305 fr., après déduction des charges sociales. Depuis le 1er avril 2025, l’intimée était engagée pour une durée indéterminée par la Fondation B.________ en qualité d'employée de maison à un taux d'activité de 80 % pour un salaire mensuel net de 2’787 fr. 85, ce qui ne lui permettait pas de cumuler ce contrat à durée indéterminée avec ses précédents emplois, mais qu’en avril 2025, elle avait complété son activité auprès de la Fondation 19J005</w:t>
      </w:r>
    </w:p>
    <w:p>
      <w:r>
        <w:t>- 13 - B.________ par celles exercées respectivement auprès de G.________ Sàrl, pour un salaire mensuel net de 300 fr. 15, et auprès de F.________ , pour un salaire mensuel net de 349 fr. 05. Son salaire mensuel net global s'élevait ainsi à 3'437 fr. 05, correspondant à un taux de 98 %. Admettant que l'activité déployée par l’intimée ne correspondait pas à celle de la jurisprudence fédérale dite « des paliers scolaires », la présidente a reconnu qu'en cumulant ses trois emplois jusqu'à atteindre un taux de près de 98 %, l’intimée fournissait les efforts que l'on pouvait attendre de sa part, sachant que l'accumulation d'emplois différents, posait des problèmes de coordination des différents horaires. Elle a ajouté que le salaire effectif de l’intimée était, selon l'outil statistique Salarium, similaire à celui d'une employée de ménage et de nettoyage à 100 %, âgée de 47 ans, titulaire d'un permis d'établissement, sans formation, dans la région lémanique (salaire mensuel brut médian = 3'848 francs). La présidente a ainsi retenu les salaires nets suivants pour l’intimée : 1'305 fr. du 1er janvier au 31 mars 2025 ; puis 3'437 fr. 05 dès le 1er avril 2025. En l'occurrence, l’appelant se limite à énoncer qu'il conviendrait de retenir un revenu hypothétique à l’intimée, avec des paliers en août 2024 et en juin 2025, mais paradoxalement admet les périodes définies par la présidente pour les périodes de janvier à mars, d’avril à août puis, dès septembre (cf. consid. 4.1 supra), et ne discute nullement le raisonnement de l'ordonnance entreprise sur l'accumulation des emplois. La recevabilité de son grief paraît dès lors douteuse eu égard aux exigences de motivation rappelées ci-dessus (cf. consid. 2.6 supra). En tout état, il doit être rejeté. En effet, le raisonnement de la présidente est convainquant. Un revenu hypothétique doit être imputé à l'un des parents lorsque ledit parent ne fournit pas tous les efforts que l'on est en droit d'attendre de lui pour subvenir à l'entretien de la famille. Cependant, en cumulant trois emplois pour un taux de 98 %, avant le mois de juin 2025, l’intimée fournit manifestement les efforts que l'on peut attendre d’elle et il n'y a pas lieu de s'écarter de la situation effective dans une telle configuration. Concernant la période antérieure à avril 2025, l’intimée cumulait plusieurs petits revenus, mais faute de critique claire contre le raisonnement de la 19J005</w:t>
      </w:r>
    </w:p>
    <w:p>
      <w:r>
        <w:t>- 14 - présidente, celle-ci est vaine ; il ne suffit pas d'opposer la version que l'on souhaite voir reconnue à celle de l'ordonnance contestée, ce d'autant que la critique n'est nullement explicitée, en particulier, l’appelant ne fournit aucune donnée chiffrée, ni même un revenu qui aurait pu être réalisé. On ne peut donc raisonnablement pas exiger de l’intimée qu'elle augmente de 98 % à 100% sa capacité contributive compte tenu de sa situation personnelle, la nature de son/ses emploi/s et du bénéfice potentiel à chercher un emploi à 100 % plutôt que de conserver ses contrats à durée indéterminée. Le grief d'imputation d'un revenu hypothétique est mal fondé, autant que recevable.</w:t>
      </w:r>
    </w:p>
    <w:p>
      <w:r>
        <w:rPr>
          <w:b/>
        </w:rPr>
        <w:t>E. 5.1</w:t>
      </w:r>
    </w:p>
    <w:p>
      <w:r>
        <w:t>L'appelant se plaint ensuite de la violation de l'art. 285 al. 1 CC (Code civil suisse du 10 décembre 1907 ; RS 210) sous l'angle de la mauvaise évaluation du disponible de chacun des parents.</w:t>
      </w:r>
    </w:p>
    <w:p>
      <w:r>
        <w:rPr>
          <w:b/>
        </w:rPr>
        <w:t>E. 5.2.1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5.2.2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 ATF 147 III 265 consid. 6.6 in fine, SJ 2021 I 316). Cette méthode consiste d’abord à établir les ressources financières à disposition – y compris d’éventuels revenus hypothétiques – puis à déterminer les 19J005</w:t>
      </w:r>
    </w:p>
    <w:p>
      <w:r>
        <w:t>- 15 - besoins de la personne dont l’entretien est concerné (entretien dit convenable ; ATF 147 III 301 consid. 4.3 ; ATF 147 III 293 consid. 4.5 in fine).</w:t>
      </w:r>
    </w:p>
    <w:p>
      <w:r>
        <w:rPr>
          <w:b/>
        </w:rPr>
        <w:t>E. 5.2.3</w:t>
      </w:r>
    </w:p>
    <w:p>
      <w:r>
        <w:t>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5.2.4</w:t>
      </w:r>
    </w:p>
    <w:p>
      <w:r>
        <w:t>De jurisprudence constante, seules les charges effectives, à savoir celles qui sont réellement acquittées, peuvent être prises en compte pour le calcul de la contribution d'entretien (ATF 121 III 20 consid. 3a, JdT 1997 II 163 ; TF 5A_272/2019 du 9 juin 2020 consid. 4.1 et les références citées), à l'exclusion de dépenses hypothétiques dont on ne sait si elles existeront finalement – et à concurrence de quel montant – ni si elles seront en définitive assumées (TF 5A_167/2024 du 9 octobre 2025 consid. 3.1 ; TF 5A _70/2024 du 3 avril 2025 consid. 5.3 et les références citées).</w:t>
      </w:r>
    </w:p>
    <w:p>
      <w:r>
        <w:rPr>
          <w:b/>
        </w:rPr>
        <w:t>E. 5.2.4.1</w:t>
      </w:r>
    </w:p>
    <w:p>
      <w:r>
        <w:t>S'agissant des frais de transport, un certain schématisme est de mise et la jurisprudence admet la prise en compte d'un forfait par kilomètre, englobant l'amortissement (TF 5A_532/2021 du 22 novembre 2021 consid. 3.4 ; TF 5A_779/2015 du 12 juillet 2016 consid. 5.3.3.1, publié in FamPra.ch 2016 p. 976). La jurisprudence fédérale admet des forfaits de l'ordre de 60 ou 70 centimes par kilomètre (TF 5A_532/2021 précité consid. 3.4) mais il faut tout de même relever que lorsque ces trajets portent sur une longue distance, cette méthode aboutit généralement à une charge exagérée (Stoudmann, Le divorce en pratique, 3e éd., Lausanne 2025, p. 211 et la référence citée). Une autre possibilité consacrée par la jurisprudence 19J005</w:t>
      </w:r>
    </w:p>
    <w:p>
      <w:r>
        <w:t>- 16 - consiste à calculer le nombre de kilomètres effectués en moyenne chaque mois, de les multiplier par le prix de l'essence pour une consommation de</w:t>
      </w:r>
    </w:p>
    <w:p>
      <w:r>
        <w:rPr>
          <w:b/>
        </w:rPr>
        <w:t>E. 5.2.4.2</w:t>
      </w:r>
    </w:p>
    <w:p>
      <w:r>
        <w:t>S’agissant de l’amortissement d’une dette, si les moyens financiers des parties le permettent, celui-ci peut être comptabilisé dans le calcul du minimum vital du droit de la famille pour autant que des paiements pour amortir la dette aient déjà été effectués régulièrement avant la fin de la vie commune et que la dette ait été contractée pour le bénéfice de la famille, décidée en commun ou que les parties en sont débitrices solidaires (TF 5A_689/2023 du 19 août 2024 consid. 4.2).</w:t>
      </w:r>
    </w:p>
    <w:p>
      <w:r>
        <w:rPr>
          <w:b/>
        </w:rPr>
        <w:t>E. 5.3</w:t>
      </w:r>
    </w:p>
    <w:p>
      <w:r>
        <w:t>Les griefs de l’appelant quant à la mauvaise évaluation du disponible des parties consistent en réalité à présenter de nouveaux tableaux des revenus et charges, en ajoutant des charges à son budget et en supprimant des charges de l’intimée qu'il qualifie de « surestimées ». L’appelant ne procède pas à une critique précise du raisonnement de la présidente, de sorte que la recevabilité des griefs qu’il soulève en lien avec les montants retenus apparait douteuse. Cette 19J005</w:t>
      </w:r>
    </w:p>
    <w:p>
      <w:r>
        <w:t>- 17 - question peut toutefois demeurer ouverte en tant que ses griefs doivent dans tous les cas été rejetés pour les motifs qui suivent.</w:t>
      </w:r>
    </w:p>
    <w:p>
      <w:r>
        <w:rPr>
          <w:b/>
        </w:rPr>
        <w:t>E. 5.3.1</w:t>
      </w:r>
    </w:p>
    <w:p>
      <w:r>
        <w:t>L’appelant se prévaut en particulier de charges qu'il aurait directement acquittées jusqu'au mois de juin 2025. Concernant les montants que l’appelant dit avoir payé et qui ne devraient pas figurer dans les charges de l’intimée, celui-ci se réfère aux pièces 51 à 53. Outre que ses allégations ne sont pas précises, elles concernent des paiements que lui-même admet avoir eu lieu entre août et décembre 2024. Or, les contributions d'entretien concernent la première période, c’est-à-dire de janvier à fin mars 2025, et la deuxième période, à savoir d'avril à fin août 2025, sont postérieures. Il n'y a ainsi pas d’identité temporelle, de sorte que des frais acquittés sur une période antérieure ne sauraient être déduits de l'entretien pour une période subséquente.</w:t>
      </w:r>
    </w:p>
    <w:p>
      <w:r>
        <w:rPr>
          <w:b/>
        </w:rPr>
        <w:t>E. 5.3.2</w:t>
      </w:r>
    </w:p>
    <w:p>
      <w:r>
        <w:t>L’appelant tente de faire reconnaître dans ses charges un montant à titre de frais de transport, comprenant son leasing mensuel de 705 fr. par mois. Comme l’appelant le reconnaît à juste titre, seuls les frais de stricte nécessité peuvent être retenus à ce titre. En retenant un montant de 405 fr. par mois de leasing, qui se fonde sur une pièce topique effective, à savoir le contrat de leasing, la présidente ne s'est pas écartée de la jurisprudence précitée. Le versement de 705 fr. effectué sous un libellé « […] » ne permet pas d'affaiblir la force probante de la pièce 105, étant quoi qu’il en soit observé que le montant allégué n'est pas raisonnable dès lors que le montant admis à ce titre excède déjà le prix mensuel d'un abonnement général adulte (correspondant à 335 fr. par mois), alors que l’appelant travaille à [v***] et habite à [u***], de sorte qu'il pourrait utiliser les transports publics.</w:t>
      </w:r>
    </w:p>
    <w:p>
      <w:r>
        <w:rPr>
          <w:b/>
        </w:rPr>
        <w:t>E. 5.3.3</w:t>
      </w:r>
    </w:p>
    <w:p>
      <w:r>
        <w:t>L’appelant estime ensuite que le remboursement du prêt contracté auprès de G.________ aurait dû être pris en considération dans ses charges incompressibles. 19J005</w:t>
      </w:r>
    </w:p>
    <w:p>
      <w:r>
        <w:t>- 18 - Comme rappelé ci-avant (cf. consid. 5.2.4.2 supra), l'amortissement d'une dette ne peut être pris en considération dans le calcul du minimum vital du droit de la famille que lorsque celle-ci a été contractée avant la fin du ménage commun, par surcroît aux fins de l'entretien des deux époux, mais non lorsqu'elle a été contractée au profit d'un seul des époux, à moins que tous deux n'en répondent solidairement, le critère déterminant étant que la dette contractée n'ait pas bénéficié qu'à l'un des époux, mais à l'entretien des deux conjoints. En l'occurrence, la pièce 106 n'est pas le contrat définitif, mais une proposition et en aucun cas l'affectation du crédit n'y figure. La proposition de contrat, non signée et expressément réservée, ne permet pas de tenir compte d'une charge essentielle et effective, sans qu'il soit nécessaire de définitivement rechercher l'affectation exacte du crédit. Par surabondance, l’appelant n’a pas démontré l’affectation du crédit éventuellement octroyé puisqu’il n'a pas produit de facture acquittée après l'obtention du crédit, dont on ignore, faut-il le rappeler, s'il l'a vraiment obtenu ou non.</w:t>
      </w:r>
    </w:p>
    <w:p>
      <w:r>
        <w:rPr>
          <w:b/>
        </w:rPr>
        <w:t>E. 5.3.4</w:t>
      </w:r>
    </w:p>
    <w:p>
      <w:r>
        <w:t>L’appelant entend encore faire reconnaître un montant de 900 fr. à titre d’impôt qu’il ne démontre pas, ne produisant même aucune simulation à l'appui de son appel. Les impôts sont calculés directement sur la base de la calculatrice de l'Etat de Vaud, de sorte que l'estimation effectuée par la présidente n'est pas contestable, ce d’autant plus qu’elle tient compte des contributions d'entretien déterminées. Ainsi, l’affirmation péremptoire et non prouvée de l’appelant ne saurait ainsi être retenue.</w:t>
      </w:r>
    </w:p>
    <w:p>
      <w:r>
        <w:rPr>
          <w:b/>
        </w:rPr>
        <w:t>E. 5.3.5</w:t>
      </w:r>
    </w:p>
    <w:p>
      <w:r>
        <w:t>Enfin, l’appelant souhaite voir ajouté à ses charges des frais d’exercice de son droit de visite. 19J005</w:t>
      </w:r>
    </w:p>
    <w:p>
      <w:r>
        <w:t>- 19 - Les frais du droit de visite ne sont pris en compte que lorsque le droit de visite est régulier. Vu en l'espèce l'échec de la garde alternée et le droit de visite libre, ne prévoyant pas de périodes définies, il n'y a pas lieu de retenir un forfait à ce titre. En définitive, autant que recevable, le grief concernant les charges des parties est infondé. 6. 6.1 En définitive, l’appel doit être rejeté et l’ordonnance entreprise confirmée. 6.2 Les frais judiciaires de deuxième instance, arrêtés à 600 fr. (art. 63 al. 1 TFJC [tarif des frais judiciaires civils du 28 septembre 2010 ; BLV 270.11.5]), seront mis à la charge de l’appelant, qui succombe (art. 106 al. 1 CPC). Les frais judiciaires seront provisoirement supportés par l’Etat au vu du bénéfice de l’assistance judiciaire accordé à l’appelant. 6.3 Vu l’issue de la cause, l’appelant versera au conseil de l’intimée un montant de 800 fr. (art. 3 al. 1 et 2, et 7 al. 1 TDC [tarif des dépens en matière civile du 23 novembre 2010 ; BLV 270.11.6]), étant rappelé que l’assistance judiciaire ne dispense pas du versement de dépens à la partie adverse (art. 122 al. 1 let. d CPC). 7. 7.1 Les conseils d’office ont droit au remboursement de leurs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19J005</w:t>
      </w:r>
    </w:p>
    <w:p>
      <w:r>
        <w:t>- 20 - 2010 sur l’assistance judiciaire en matière civile ; BLV 211.02.3]) et de 110 fr. pour un avocat 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 7.2 En l’espèce, Me Flore Primault a indiqué avoir consacré 26 heures et 30 minutes à la cause du 18 novembre 2025 au 21 avril 2026. Parmi ces opérations, figurent pas moins de 3 heures et 54 minutes d’échanges avec le client sous diverses formes (rendez-vous, courriels, téléphones et courriers). Compte tenu de la nature et de l’ampleur 19J005</w:t>
      </w:r>
    </w:p>
    <w:p>
      <w:r>
        <w:t>- 21 - du litige, ces opérations s’apparentent à du soutien moral qui n’est pas rémunéré par l’assistance judiciaire. Elles seront donc réduites à 1 heure et 30 minutes. Les mémos au client pour un total de 25 minutes, facturés à hauteur de 5 minutes chacun, relèvent du travail de secrétariat et ne seront pas pris en compte. Par ailleurs, le temps de rédaction de l’appel – dont on a vu que la recevabilité était douteuse – de 14 heures et 25 minutes, apparaît excessif et sera rapporté à 9 heures. Il en va de même du temps de rédaction des déterminations, de deux pages hors page de garde, facturé à 3 heures qui sera réduit à 1 heure et 30 minutes. Les courriers à la Juge de céans, tous facturés à hauteur de 30 minutes, y compris la transmission de la requête simplifiée d’assistance judiciaire, sont exagérés et seront réduits à 10 minutes chacun. A l’égard de la demande d’assistance judiciaire, il ne paraît pas justifié d’accorder 15 minutes à l’examen de celle- ci dans la mesure où elle a été accordée et ne nécessite aucune analyse approfondie. Le temps sera donc réduit à 5 minutes. Le temps facturé à agender les délais relève du travail de pur secrétariat et ne donne pas lieu à indemnisation par l’assistance judiciaire. Enfin, les débours s’élèvent à 2 % et non 5 % comme indiqué de manière erronée dans la liste des opérations de l’avocate. En définitive, le temps total rémunéré sera arrêté à 15 heures et 26 minutes. Il s’ensuit qu’au tarif horaire de 180 fr., l’indemnité de Me Flore Primault doit être fixée à 2’778 fr. (15.26 h x 180 fr.), montant auquel il convient d’ajouter des débours par 55 fr. 55 (2 % x 2’778 fr., art. 3bis al. 1 RAJ), ainsi que la TVA à 8.1 % sur l’ensemble, soit 229 fr. 50, pour un total de 3'063 fr. 05. Quant à Me Christel Burri, elle a indiqué avoir consacré 9 heures et 15 minutes de travail au dossier du 10 novembre 2025 au 15 avril 2026. Ces opérations apparaissent justifiées et seront admises. Il s’ensuit qu’au tarif horaire de 180 fr., l’indemnité de Me Christel Burri doit être fixée à 1’665 fr. (9.15 h x 180 fr.), montant auquel il convient d’ajouter des débours par 33 fr. 30 (2 % x 1’665 fr., art. 3bis al. 1 19J005</w:t>
      </w:r>
    </w:p>
    <w:p>
      <w:r>
        <w:t>- 22 - RAJ), ainsi que la TVA à 8.1 % sur l’ensemble, soit 137 fr. 55, pour un total de 1'835 fr. 85. Cette indemnité sera versée à Me Christel Burri si les dépens de deuxième instance ne peuvent pas être obtenus (art. 122 al. 2 CPC). 7.3 Les bénéficiaires de l’assistance judiciaire rembourseront les frais judiciaires de deuxième instance et les indemnités allouées à leurs conseils d’office, provisoirement supportés par l’Etat, dès qu’ils seront en mesure de le faire (art. 123 CPC), le remboursement de l’indemnité de Me Christel Burri n’étant dû que sous réserve du recouvrement des dépens (art. 122 al. 2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Les frais judiciaires de deuxième instance, arrêtés à 600 fr. (six cents francs), sont mis à la charge de l’appelant V.________ et provisoirement laissés à la charge de l’Etat. IV. L’appelant V.________ doit verser à Me Christel Burri, conseil d’office de l’intimée S.________, une somme de 800 fr. (huit cents francs) à titre de dépens de deuxième instance. 19J005</w:t>
      </w:r>
    </w:p>
    <w:p>
      <w:r>
        <w:t>- 23 - Si Me Christel Burri ne peut pas recouvrer les dépens, son indemnité de conseil d’office est arrêtée à 1'835 fr. 85 (mille huit cent trente-cinq francs et huitante-cinq centimes), débours et TVA compris. V. L’indemnité d’office allouée à Me Flore Primault, conseil d’office de l’appelant V.________, est arrêtée à 3'063 fr. 05 (trois mille soixante-trois francs et cinq centimes), TVA et débours compris. VI. Les bénéficiaires de l’assistance judiciaire sont tenus au remboursement de la part des frais judiciaires mise à leur charge et de l’indemnité de leur conseil d’office respectif, provisoirement laissés à la charge de l’Etat, dès qu’ils seront en mesure de le faire. VII. L’arrêt est exécutoire. La juge unique : La greffière : Du Le présent arrêt, dont la rédaction a été approuvée à huis clos, est notifié à : - Me Flore Primault (pour V.________) - Me Christel Burri (pour S.________), 19J005</w:t>
      </w:r>
    </w:p>
    <w:p>
      <w:r>
        <w:t>- 24 - et communiqué, par l'envoi de photocopies, à : - Mme la Présidente du Tribunal civil de l’arrondissement de La Côte. - A l’enfant suivant, par un extrait du présent arrêt, en tant qu’il le concerne (art. 301 let. b CPC) : - L.________, né le *** 2009.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r>
        <w:rPr>
          <w:b/>
        </w:rPr>
        <w:t>E. 10</w:t>
      </w:r>
    </w:p>
    <w:p>
      <w:r>
        <w:t>litres pour 100 kilomètres, puis d'y ajouter un montant forfaitaire de 100 fr. à 300 fr. correspondant à l'entretien, à l'assurance et aux impôts du véhicule (TF 5A_338/2014 du 2 juillet 2014 consid. 3.1 ; cf. également : Juge unique CACI 4 septembre 2024/403 consid. 5.4.4.2.2 et les références citées). Le calcul des frais de déplacement en voiture s'effectue en multipliant le kilométrage moyen réalisé chaque mois – en prenant en compte les vacances dont dispose le travailleur – par une consommation de 0.08 litre au kilomètre et par le prix du litre d'essence, auquel s'ajoute un montant de 100 fr. à 300 fr., qui correspond à l'entretien du véhicule, l'assurance et l'impôt (RFJ 2003 p. 230 consid. 2 ; Stoudmann, op. cit., pp. 211 et 212 et les références citées). Les mensualités de leasing d'un véhicule ayant un caractère de stricte nécessité font intégralement partie du minimum vital (ATF 140 III 337 consid. 5.2, JdT 2015 II 227, FamPra.ch 2014 p. 1030 ; TF 5A_354/2023 et 5A_396/2023 du 29 août 2024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