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JS24.040877 vom 14. Januar 2025</w:t>
      </w:r>
    </w:p>
    <w:p>
      <w:r>
        <w:t>VD Tribunal cantonal, 2025-01-14, FR</w:t>
      </w:r>
    </w:p>
    <w:p>
      <w:r>
        <w:rPr>
          <w:b/>
        </w:rPr>
        <w:t xml:space="preserve">Quelle: </w:t>
      </w:r>
      <w:r>
        <w:t>https://mcp.opencaselaw.ch/entscheid/vd_gerichte_JS24.040877</w:t>
      </w:r>
    </w:p>
    <w:p>
      <w:r>
        <w:t>FR: VD_GERICHTE JS24.040877 du 14 janvier 2025</w:t>
      </w:r>
    </w:p>
    <w:p>
      <w:r>
        <w:t>IT: VD_GERICHTE JS24.040877 del 14 gennaio 2025</w:t>
      </w:r>
    </w:p>
    <w:p>
      <w:pPr>
        <w:pStyle w:val="Heading2"/>
      </w:pPr>
      <w:r>
        <w:t>Erwägungen</w:t>
      </w:r>
    </w:p>
    <w:p>
      <w:r>
        <w:rPr>
          <w:b/>
        </w:rPr>
        <w:t>E. 3.1</w:t>
      </w:r>
    </w:p>
    <w:p>
      <w:r>
        <w:t>L’appelant conteste le calcul des pensions opéré par le président, lui reprochant de n’avoir retenu aucune charge de loyer le concernant, au motif qu’il vit chez sa nouvelle compagne mais ne paye pas de loyer. Il revendique ainsi la prise en compte d’une telle charge mensuelle à hauteur de 1'100 fr., soit la moitié du loyer s’élevant à 2'200 francs. A l’appui de sa position, il indique, en se référant à des pièces produites avec son appel, qu’il s’est acquitté auprès de sa nouvelle compagne d’un montant de 2'087 fr. pour le mois de décembre 2024, incluant le loyer et d’autres charges, et que le bail du logement qu’occupe celle-ci est en réalité à son nom.</w:t>
      </w:r>
    </w:p>
    <w:p>
      <w:r>
        <w:rPr>
          <w:b/>
        </w:rPr>
        <w:t>E. 3.2.1</w:t>
      </w:r>
    </w:p>
    <w:p>
      <w:r>
        <w:t>L’art. 176 al. 1 ch. 1 CC prévoit qu’à la requête d’un époux et si la suspension de la vie commune est fondée, le juge fixe les contributions d’entretien à verser aux enfants et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t>- 10 -</w:t>
      </w:r>
    </w:p>
    <w:p>
      <w:r>
        <w:rPr>
          <w:b/>
        </w:rPr>
        <w:t>E. 3.2.2</w:t>
      </w:r>
    </w:p>
    <w:p>
      <w:r>
        <w:t>En application de cette méthode, les charges devant être retenues pour le calcul des contributions sont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3.2.3</w:t>
      </w:r>
    </w:p>
    <w:p>
      <w:r>
        <w:t>De pratique constante, seules les charges effectives, à savoir celles qui sont réellement acquittées, peuvent être prises en compte pour le calcul de la contribution d'entretien (ATF 121 III 20 consid. 3a ; TF 5A_638/2023 du 23 février 2024 consid. 4.1 ; TF 5A_397/2022 du 17 mai 2023 consid. 6.2.3 ; TF 5A_446/2016 du 4 novembre 2016 consid. 3 : charge de loyer), à l'exclusion de dépenses hypothétiques dont on ne sait si elles existeront finalement – et à concurrence de quel montant – ni si elles seront en définitive assumées (TF 5A_638/2023 précité consid. 4.1 ; TF 5A_378/2021 du 7 septembre 2022 consid. 7.3). La preuve du paiement effectif doit être apportée par celui qui s’en prévaut (TF 5A_5/2020 du 27 avril 2020 consid. 3.3).</w:t>
      </w:r>
    </w:p>
    <w:p>
      <w:r>
        <w:rPr>
          <w:b/>
        </w:rPr>
        <w:t>E. 3.3</w:t>
      </w:r>
    </w:p>
    <w:p>
      <w:r>
        <w:t>En l’espèce, il ressort de l’ordonnance litigieuse que l’appelant a quitté le domicile conjugal le 1er septembre 2024 pour aller vivre dans l’appartement occupé par sa nouvelle compagne. Le premier juge s’est fondé sur les déclarations de l’appelant pour ne prendre en compte aucune charge de loyer (cf. ordonnance attaquée p. 12) – dont la teneur ne paraît pas contestée en appel. Or, si l’intéressé change sa version à cet égard en soutenant désormais qu’il supporte la moitié de la charge de loyer de l’appartement qu’il occupe, force est de constater qu’il n’apporte pas la preuve du fait dont il entend se prévaloir, ce qui lui incombe</w:t>
      </w:r>
    </w:p>
    <w:p>
      <w:r>
        <w:t>- 11 - pourtant (art. 8 CC). En effet, la pièce 3 produite, intitulée « Virement TWINT effectué par A.F.________, du 20 novembre 2024 (participation au loyer et charges) », soit une capture d’écran d’un versement effectué en faveur d’une personne nommée « [...] » par l’application TWINT à hauteur de 2087 fr. censée attester du versement du loyer, ne permet – en l’état du dossier – ni d’établir l’identité du bénéficiaire dudit versement, ni l’identité de son auteur, ni, surtout, le motif du versement. Cette pièce échoue donc à démontrer qu’il s’agirait bien d’une part du loyer versée par l’appelant. Au surplus, il est relevé qu’il serait quoi qu’il en soit douteux qu’un seul versement effectué le 20 novembre 2024, alors que l’appelant a emménagé le 1er septembre 2024, permette de retenir que l’intéressé s’acquitterait régulièrement et effectivement de la moitié du loyer. Le fait pour l’appelant de figurer comme seul locataire sur le contrat de bail du logement concerné n’est pas plus probant. En effet, à teneur de ce contrat, signé les 23 et 26 janvier 2024, le bail a débuté le 1er février 2024 (cf. pièce 4). Ainsi, bien que le bail soit au nom de l’appelant, c’est la nouvelle compagne de ce dernier qui a vécu seule dans l’appartement concerné dès cette date et jusqu’à ce que l’appelant la rejoigne lors de la séparation des parties sept mois plus tard. Or, l’intéressé ne soutient pas que durant cette période il aurait supporté en partie le loyer correspondant, cela en sus du loyer du logement conjugal qu’il occupait alors. Cette pièce ne saurait dès lors constituer une preuve de paiement du loyer par ses soins. Au demeurant, ainsi que relevé ci- dessus, l’appelant a expressément admis en première instance que sa nouvelle compagne s’acquittait entièrement du loyer concerné. Pour le surplus, l’appelant se perd en conjectures ; il lui appartenait en définitive de démontrer qu’il supporte effectivement la charge invoquée, ce qu’il ne fait pas. Le grief ne peut donc qu’être rejeté.</w:t>
      </w:r>
    </w:p>
    <w:p>
      <w:r>
        <w:rPr>
          <w:b/>
        </w:rPr>
        <w:t>E. 4</w:t>
      </w:r>
    </w:p>
    <w:p>
      <w:r>
        <w:t>- 12 -</w:t>
      </w:r>
    </w:p>
    <w:p>
      <w:r>
        <w:rPr>
          <w:b/>
        </w:rPr>
        <w:t>E. 4.1</w:t>
      </w:r>
    </w:p>
    <w:p>
      <w:r>
        <w:t>L’appelant fait encore valoir qu’il a été informé, par courrier du 20 novembre 2024, du fait que son contrat de travail était résilié avec effet au 29 novembre 2024. Ayant déposé une demande d’indemnité de chômage auprès de l’Office régional de placement (ci-après : l’ORP), il soutient qu’il ne percevra ainsi plus que 80 % de son salaire de 4'545 fr. 60 retenu par le premier juge, soit des indemnités mensuelles de 3'636 fr. 50, ce dont il conviendrait de tenir compte en adaptant le montant des contributions d’entretien dès le 1er décembre 2024.</w:t>
      </w:r>
    </w:p>
    <w:p>
      <w:r>
        <w:rPr>
          <w:b/>
        </w:rPr>
        <w:t>E. 4.2.1</w:t>
      </w:r>
    </w:p>
    <w:p>
      <w:r>
        <w:t>La demande de modification du jugement dans les causes matrimoniales et du droit de la filiation (cf. art. 179, 129, 134 et 286 CC) est une nouvelle action au sens de la jurisprudence. Le fondement du procès en modification – à la différence de la voie de la révision – ne peut être que de vrais nova, c'est-à-dire des faits et moyens de preuves qui ne sont apparus ou ne sont devenus disponibles qu'après le moment où, dans une procédure antérieure achevée par un jugement entré en force, les moyens d'attaque et de défense pouvaient pour la dernière fois être invoqués. La jurisprudence admet que sont aussi de « vrais » nova les faits qui existaient certes déjà au moment de la procédure précédente et qui étaient connus de la partie qui les invoque, mais qui n'ont alors pas été invoqués par celle-ci, faute de pouvoir en apporter la preuve (ATF 143 III 42 consid. 5.2 ; TF 5A_436/2020 du 5 février 2021 consid. 4.2 ; TF 5A_874/2019 du 22 juin 2020 consid. 3.2).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dans la mesure où ils étaient recevables d'après l'art. 317 CPC. Au même titre, les moyens, sur la base desquels sont allégués, respectivement prouvés des changements de circonstances ne doivent pas permettre une modification des mesures</w:t>
      </w:r>
    </w:p>
    <w:p>
      <w:r>
        <w:t>- 13 - protectrices (art. 179 CC) lorsqu'ils auraient déjà pu être invoqués dans le cadre de l'appel contre la décision de mesures protectrices (ATF 143 III 42 consid. 5.3 ; TF 5A_436/2020 précité consid. 4.2 ; TF arrêts 5A_874/2019 précité consid. 3.2 in fine ; TF 5A_347/2019 du 9 avril 2020 consid. 3.1.6).</w:t>
      </w:r>
    </w:p>
    <w:p>
      <w:r>
        <w:rPr>
          <w:b/>
        </w:rPr>
        <w:t>E. 4.2.2</w:t>
      </w:r>
    </w:p>
    <w:p>
      <w:r>
        <w:t>Pour fixer la contribution d'entretien, le juge doit en principe tenir compte du revenu effectif des parties (TF 5A_165/2023 du 4 avril 2024 consid. 3.1.2 ; TF 5A_252/2023 du 27 septembre 2023 consid. 4). En droit de la famille, les rentes perçues en remplacement d’un revenu du travail constituent aussi un revenu. Pour déterminer la capacité contributive, il faut donc prendre en considération non seulement le revenu effectif du travail,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TF 5A_465/2020 du 23 novembre 2020 consid. 4.4). Le fait qu’un débirentier perde son emploi après la notification d'une décision ne peut pas être pris en compte dans la procédure d’appel lorsque ce changement ne revêt un caractère durable qu’après le moment où des nova pouvaient encore être valablement invoqués en appel conformément à l'art. 317 CPC (cf. TF 5A_451/2020 du 31 mars 2021 consid. 3.1.2 et TF 5A_436/2020 du 5 février 2021 consid. 5.4 ; ég. TF 5A_253/2020 du 25 mars 2021 consid. 3.4 in fine et TF 5A_874/2019 du 22 juin 2020 consid. 4.3.1). La jurisprudence impose généralement une durée minimale de quatre mois pour qu'une période de chômage soit considérée comme durable et qu’il convienne, en principe, de tenir compte des indemnités de chômage effectivement perçues (ATF 143 III 617 consid. 5.2 ; TF 5A_253/2020 précité 2021 consid. 3.4 in fine ; TF 5A_436/2020 précité consid. 5.4 ; sur le tout : Juge unique CACI 21 octobre 2022/530 consid. 4.2).</w:t>
      </w:r>
    </w:p>
    <w:p>
      <w:r>
        <w:rPr>
          <w:b/>
        </w:rPr>
        <w:t>E. 4.3.1</w:t>
      </w:r>
    </w:p>
    <w:p>
      <w:r>
        <w:t>En l’espèce, avec son appel, l’appelant produit sous pièce 5 une lettre de son employeur du 20 novembre 2024. Il y est indiqué que</w:t>
      </w:r>
    </w:p>
    <w:p>
      <w:r>
        <w:t>- 14 - cette lettre fait suite à un entretien du 28 octobre 2024 lors duquel l’intéressé a été informé de la résiliation de son contrat de mission, résiliation qui est ainsi confirmée dans ladite lettre, étant précisé que la mission prend fin le 29 novembre 2024 compte tenu du délai de congé d’un mois. L’appelant soutient qu’il a été surpris par la teneur de ce courrier, n’ayant pas compris lors de l’entretien du 28 octobre 2024 qu’il allait être licencié à brève échéance. Il argue avoir ainsi été informé de son licenciement postérieurement à l’audience du 1er novembre 2024. Cette position ne saurait être suivie dès lors qu’elle est en contradiction avec les propres pièces de l’appelant. En effet, ce dernier a produit sous pièce 6 une attestation de l’ORP confirmant son inscription au chômage le 8 novembre 2024. L’appelant ne peut ainsi soutenir ne pas avoir été au courant de son licenciement avant la lettre du 20 novembre 2024 alors qu’il s’était inscrit au chômage pratiquement deux semaines auparavant.</w:t>
      </w:r>
    </w:p>
    <w:p>
      <w:r>
        <w:rPr>
          <w:b/>
        </w:rPr>
        <w:t>E. 4.3.2</w:t>
      </w:r>
    </w:p>
    <w:p>
      <w:r>
        <w:t>Quoi qu’il en soit, la perte d’emploi invoquée apparaît être devenue effective le 1er décembre 2024, soit postérieurement à la reddition de l’ordonnance entreprise. Surtout, le chômage de l’appelant ne peut nécessiter l’adaptation des contributions d’entretien litigieuses en appel que s’il revêt un caractère durable – soit dure depuis quatre mois au moins – avant les délibérations de deuxième instance (cf. art. 317 al. 1bis CPC, dans sa teneur postérieure au 1er janvier 2025, cf. art. 407f CPC). Tel n’est pas le cas in casu, dès lors que la présente cause de deuxième instance a été clôturée par avis du 20 décembre 2024, étant au surplus constaté que, de toute manière, l’appelant n’est au chômage – s’il perdure encore – que depuis environ un mois et demi lorsque le présent arrêt est rendu. Force est ainsi de constater que la perte d’emploi dont il se prévaut ne présente pas, à ce stade, le caractère durable exigé par la jurisprudence, aucun élément au dossier ne permettant de retenir le contraire. Le grief doit par conséquent être rejeté, sans qu’il soit nécessaire de déterminer si l’appelant est actuellement toujours au</w:t>
      </w:r>
    </w:p>
    <w:p>
      <w:r>
        <w:t>- 15 - chômage – respectivement s’il a pu obtenir une nouvelle mission temporaire –, ni, cas échéant, s’il a perdu son emploi du fait d’un comportement fautif et s’il a entrepris tout ce qui était en son pouvoir afin d’exploiter pleinement sa capacité de gain pour être à même de continuer d'assumer ses obligations d'entretien.</w:t>
      </w:r>
    </w:p>
    <w:p>
      <w:r>
        <w:rPr>
          <w:b/>
        </w:rPr>
        <w:t>E. 4.4</w:t>
      </w:r>
    </w:p>
    <w:p>
      <w:r>
        <w:t>Le revenu de l’appelant tel que retenu par le premier juge étant confirmé, il n’y a pas lieu de modifier les charges de l’intéressé en raison d’une perte d’emploi.</w:t>
      </w:r>
    </w:p>
    <w:p>
      <w:r>
        <w:rPr>
          <w:b/>
        </w:rPr>
        <w:t>E. 5.1</w:t>
      </w:r>
    </w:p>
    <w:p>
      <w:r>
        <w:t>Il résulte de ce qui précède que l’appel, manifestement infondé, doit être rejeté, selon le mode procédural de l’art. 312 al. 1 in fine CPC, et l’ordonnance attaquée confirmée.</w:t>
      </w:r>
    </w:p>
    <w:p>
      <w:r>
        <w:rPr>
          <w:b/>
        </w:rPr>
        <w:t>E. 5.2</w:t>
      </w:r>
    </w:p>
    <w:p>
      <w:r>
        <w:t>L’appelant a requis l’assistance judiciaire pour la procédure de deuxième instance. Or, dès lors que son appel était manifestement infondé, sa cause était d’emblée dépourvue de toute chance de succès (cf. art. 117 let. b CPC). En effet, l’intéressé n’oppose aucun argument substantiel à l’ordonnance entreprise, si bien qu’il n’existait aucune chance d’admission de ses conclusions en deuxième instance lors du dépôt de son mémoire. Sa requête d’assistance judiciaire doit dès lors être rejetée.</w:t>
      </w:r>
    </w:p>
    <w:p>
      <w:r>
        <w:rPr>
          <w:b/>
        </w:rPr>
        <w:t>E. 5.3</w:t>
      </w:r>
    </w:p>
    <w:p>
      <w:r>
        <w:t>Les frais judiciaires de deuxième instance, arrêtés 800 fr. – soit 600 fr. pour l’émolument du présent arrêt (art. 63 al. 1 et 65 al. 2 TFJC [tarif des frais judiciaires civils du 28 septembre 2010 ; BLV 270.11.5]) et 200 fr. pour l’émolument de décision relatif à l’effet suspensif (art. 7 al. 1 et 60 TFJC) –, sont mis à la charge de l’appelant, qui succombe (art. 106 al. 1 CPC).</w:t>
      </w:r>
    </w:p>
    <w:p>
      <w:r>
        <w:rPr>
          <w:b/>
        </w:rPr>
        <w:t>E. 5.4</w:t>
      </w:r>
    </w:p>
    <w:p>
      <w:r>
        <w:t>L’intimée ne s’étant déterminée ni sur la requête d’effet suspensif, ni sur l’appel – celle-ci n’ayant au demeurant pas été invitée à</w:t>
      </w:r>
    </w:p>
    <w:p>
      <w:r>
        <w:t>- 16 - se déterminer sur cette dernière écriture –, il ne sera pas alloué de dépens de deuxième instance. Par ces motifs, le Juge unique de la Cour d’appel civile prononce : I. L’appel est rejeté. II. L’ordonnance de mesures protectrices de l’union conjugale est confirmée. III. La requête d’assistance judiciaire de l’appelant A.F.________ est rejetée. IV. Les frais judiciaires de deuxième instance, arrêtés à 800 fr. (huit cents francs), sont mis à la charge de l’appelant A.F.________. V. L’arrêt est exécutoire. Le juge unique : Le greffier :</w:t>
      </w:r>
    </w:p>
    <w:p>
      <w:r>
        <w:t>- 17 - Du Le présent arrêt, dont la rédaction a été approuvée à huis clos, est notifié en expédition complète à : - Me Martin Brechbühl (pour A.F.________), - Mme B.F.________,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