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JS24.038378 vom 20. November 2025</w:t>
      </w:r>
    </w:p>
    <w:p>
      <w:r>
        <w:t>VD Tribunal cantonal, 2025-11-20, FR</w:t>
      </w:r>
    </w:p>
    <w:p>
      <w:r>
        <w:rPr>
          <w:b/>
        </w:rPr>
        <w:t xml:space="preserve">Quelle: </w:t>
      </w:r>
      <w:r>
        <w:t>https://mcp.opencaselaw.ch/entscheid/vd_gerichte_JS24.038378</w:t>
      </w:r>
    </w:p>
    <w:p>
      <w:r>
        <w:t>FR: VD_GERICHTE JS24.038378 du 20 novembre 2025</w:t>
      </w:r>
    </w:p>
    <w:p>
      <w:r>
        <w:t>IT: VD_GERICHTE JS24.038378 del 20 novembre 2025</w:t>
      </w:r>
    </w:p>
    <w:p>
      <w:pPr>
        <w:pStyle w:val="Heading2"/>
      </w:pPr>
      <w:r>
        <w:t>Erwägungen</w:t>
      </w:r>
    </w:p>
    <w:p>
      <w:r>
        <w:rPr>
          <w:b/>
        </w:rPr>
        <w:t>E. 1</w:t>
      </w:r>
    </w:p>
    <w:p>
      <w:r>
        <w:t>Aux termes de l’art. 315 al. 2 let. b CPC (Code de procédure civile du 19 décembre 2008 ; RS 272), l’appel n’a pas d’effet suspensif lorsqu’il a pour objet des décisions portant sur des mesures provisionnelles, étant précisé que les mesures protectrices de l’union conjugale constituent des mesures provisionnelles au sens de l’article précité (ATF 138 III 565 consid. 4.3.1, JdT 2015 II 408, FamPra.ch 2013 p. 194 ; TF 5A_474/2024 du 23 août 2024 consid. 5). Si la partie concernée risque de subir un préjudice difficilement réparable, l’instance d’appel peut, sur demande, exceptionnellement suspendre le caractère exécutoire dans les cas prévus à l’al. 2 (art. 315 al.</w:t>
      </w:r>
    </w:p>
    <w:p>
      <w:r>
        <w:rPr>
          <w:b/>
        </w:rPr>
        <w:t>E. 4</w:t>
      </w:r>
    </w:p>
    <w:p>
      <w:r>
        <w:t>En définitive, la requête d’effet suspensif doit être admise s’agissant des chiffres II et III du dispositif. Les frais judiciaires et dépens de la présente ordonnance seront fixés dans le cadre de l’arrêt sur appel à intervenir, et à défaut d’appel, dans le cadre d’une décision séparée sur les frais. Par ces motifs, la Juge unique de la Cour d’appel civile, prononce : I. La requête d’effet suspensif, avant appel, est admise. II. L’exécution des chiffres II et III du dispositif de l’ordonnance de mesures protectrices de l’union conjugale est suspendue. III. Il sera statué sur les frais judiciaires et les dépens de la présente ordonnance dans le cadre de l’arrêt sur appel à intervenir, à défaut, dans le cadre d’une décision séparée sur les frais. La juge unique : Le greffier : Du La présente ordonnance, dont la rédaction a été approuvée à huis clos, est notifiée à : - Me Sophie Lei Ravello (pour A.C.________) - Me Antoine Boesch (pour B.C.________)</w:t>
      </w:r>
    </w:p>
    <w:p>
      <w:r>
        <w:t>- 9 - et communiquée, par l'envoi de photocopies, à : - Mme la Présidente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