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JS24.029713 vom 19. Juni 2025</w:t>
      </w:r>
    </w:p>
    <w:p>
      <w:r>
        <w:t>VD Tribunal cantonal, 2025-06-19, FR</w:t>
      </w:r>
    </w:p>
    <w:p>
      <w:r>
        <w:rPr>
          <w:b/>
        </w:rPr>
        <w:t xml:space="preserve">Quelle: </w:t>
      </w:r>
      <w:r>
        <w:t>https://mcp.opencaselaw.ch/entscheid/vd_gerichte_JS24.029713</w:t>
      </w:r>
    </w:p>
    <w:p>
      <w:r>
        <w:t>FR: VD_GERICHTE JS24.029713 du 19 juin 2025</w:t>
      </w:r>
    </w:p>
    <w:p>
      <w:r>
        <w:t>IT: VD_GERICHTE JS24.029713 del 19 giugno 2025</w:t>
      </w:r>
    </w:p>
    <w:p>
      <w:pPr>
        <w:pStyle w:val="Heading2"/>
      </w:pPr>
      <w:r>
        <w:t>Erwägungen</w:t>
      </w:r>
    </w:p>
    <w:p>
      <w:r>
        <w:rPr>
          <w:b/>
        </w:rPr>
        <w:t>E. 5.1</w:t>
      </w:r>
    </w:p>
    <w:p>
      <w:r>
        <w:t>Il résulte de ce qui précède que l’appel doit être déclaré irrecevable, en application de l’art. 312 al. 1 in fine CPC.</w:t>
      </w:r>
    </w:p>
    <w:p>
      <w:r>
        <w:rPr>
          <w:b/>
        </w:rPr>
        <w:t>E. 5.2</w:t>
      </w:r>
    </w:p>
    <w:p>
      <w:r>
        <w:t>L’arrêt peut être rendu sans frais judiciaires de deuxième instance (art. 11 TFJC [tarif des frais judiciaires civils du 28 septembre 2010 ; BLV 270.11.5]). L’intimé n’ayant pas été invité à se déterminer, il n’y a pas lieu à l’allocation de dépens. Par ces motifs, la Juge unique de la Cour d’appel civile prononce : I. L’appel est irrecevable. II. L’arrêt, rendu sans frais, est exécutoire.</w:t>
      </w:r>
    </w:p>
    <w:p>
      <w:r>
        <w:t>- 7 - La juge unique : Le greffier : Du Le présent arrêt, dont la rédaction a été approuvée à huis clos, est notifié à : - Mme L.________ - Me Dorothée Raynaud (pour P.________) et communiqué, par l'envoi de photocopies, à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