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JS24.024043 vom 24. Dezember 2025</w:t>
      </w:r>
    </w:p>
    <w:p>
      <w:r>
        <w:t>VD Tribunal cantonal, 2025-12-24, FR</w:t>
      </w:r>
    </w:p>
    <w:p>
      <w:r>
        <w:rPr>
          <w:b/>
        </w:rPr>
        <w:t xml:space="preserve">Quelle: </w:t>
      </w:r>
      <w:r>
        <w:t>https://mcp.opencaselaw.ch/entscheid/vd_gerichte_JS24.024043</w:t>
      </w:r>
    </w:p>
    <w:p>
      <w:r>
        <w:t>FR: VD_GERICHTE JS24.024043 du 24 décembre 2025</w:t>
      </w:r>
    </w:p>
    <w:p>
      <w:r>
        <w:t>IT: VD_GERICHTE JS24.024043 del 24 dicembre 2025</w:t>
      </w:r>
    </w:p>
    <w:p>
      <w:pPr>
        <w:pStyle w:val="Heading2"/>
      </w:pPr>
      <w:r>
        <w:t>Erwägungen</w:t>
      </w:r>
    </w:p>
    <w:p>
      <w:r>
        <w:rPr>
          <w:b/>
        </w:rPr>
        <w:t>E. 30</w:t>
      </w:r>
    </w:p>
    <w:p>
      <w:r>
        <w:t>juin 2020 consid. 4.4.1). 2.3 En vertu de l’art. 317 al. 1bis CPC, entré en vigueur depuis le 1er janvier 2025 et directement applicable aux procédures en cours (art. 407f CPC), dans les causes soumises à la maxime inquisitoire illimitée, la juridiction d’appel admet les faits et moyens de preuve nouveaux jusqu’aux délibérations. En l’espèce, la cause concerne des enfants mineurs, de sorte que la maxime inquisitoire illimitée est applicable. Par conséquent, les deux pièces produites à l’appui de l’appel, postérieures à la clôture de l’instruction et des débats du 29 août 2025, sont recevables. 3. 3.1 L’appelant fait valoir que dix mois après la reddition de l’ordonnance du 17 décembre 2024, il n’a toujours pas retrouvé d’emploi malgré des recherches approfondies. Selon lui, cette ordonnance contiendrait la prévision qu’il pourrait travailler et percevoir des revenus dès le 1er mai 2025. Or, cette prévision ne s’étant pas réalisée, le fait d’être sans activité professionnelle lucrative serait un fait nouveau au sens de l’art. 179 CC, lequel justifierait de supprimer les contributions d’entretien qu’il est tenu de verser en faveur de ses enfants. Pour ce motif, il a déposé, le 10 avril 2025, une requête de mesures protectrices</w:t>
      </w:r>
    </w:p>
    <w:p>
      <w:r>
        <w:t>- 8 - de l’union conjugale tendant à la modification de l’ordonnance du 17 décembre 2024. 3.2 3.2.1 Les mesures protectrices de l’union conjugale, une fois ordonnées, ne peuvent être modifiées par le juge qu’aux conditions de l’art. 179 al. 1 CC, qui renvoie aux art. 134 al. 2 et 286 CC (ATF 143 III 617 consid. 3.1, JdT 2020 II 190, FamPra.ch 2018 p. 516 ; TF 5A_778/2023 du 29 octobre 2024 consid. 3.1 et réf. cit.). Aux termes de l’art. 179 al. 1, 1ère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(ATF 143 III 617 précité consid. 3.1 ; TF 5A_592/2023 du 19 juillet 2024 consid. 6.2). Le moment déterminant pour apprécier si des circonstances nouvelles se sont produites est la date du dépôt de la demande de modification (ATF 137 III 604 consid. 4.1.1 et réf. citées, JdT 2012 II 403, FamPra.ch 2012 p. 228 ; TF 5A_778/2023 du 29 octobre 2024 consid. 3.1). C'est donc à ce moment-là qu'il y a lieu de se placer pour déterminer le revenu et son évolution prévisible (ATF 137 III 604 consid. 4.1.1 ; TF 5A_895/2021 du 6 janvier 2022 consid. 5).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 TF 5A_140/2013 du 28</w:t>
      </w:r>
    </w:p>
    <w:p>
      <w:r>
        <w:t>- 9 - mai 2013 consid. 4.1). En ce qui concerne la modification de la contribution d’entretien due à un enfant,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3.2.2 Pour fixer les contributions d'entretien du droit de la famille,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5A_191/2021 du 22 février 2022 consid. 5.1 et réf. cit.). Lorsqu'il entend tenir compte d'un tel revenu, le juge doit examiner deux conditions cumulatives. Tout d'abord, il doit déterminer si l'on peut raisonnablement exiger de la personne qu’elle exerce une activité lucrative ou augmente celle-ci eu égard, notamment, à sa formation, à son âge et à son état de santé ; il s’agit d’une question de droit. Le juge doit ensuite examiner si cette personne a la possibilité effective d'exercer l'activité ainsi déterminée et quel revenu elle peut en obtenir, compte tenu des circonstances subjectives susmentionnées ainsi que du marché du travail ; il s'agit d'une question de fait (ATF 143 III 233 consid. 3.2). Les circonstances concrètes de chaque cas sont déterminantes. Les critères dont il faut tenir compte sont notamment</w:t>
      </w:r>
    </w:p>
    <w:p>
      <w:r>
        <w:t>- 10 - l'âge, l'état de santé, les connaissances linguistiques, la formation (passée et continue), l'expérience professionnelle, la flexibilité sur les plans personnel et géographique, la situation sur le marché du travail, etc. (ATF 147 III 308 consid. 5.5 et 5.6, SJ 2021 I 328 ; TF 5A_22/2023 du 6 février 2024 consid. 4.1 ; TF 5A_613/ du 2 février 2023 consid. 4.1.1). 3.3 3.3.1 3.3.1.1 En l’espèce, il ressort de l’ordonnance du 17 décembre 2024 que le premier juge a imputé un revenu hypothétique à l’appelant à partir du 1er mai 2025. Dans cette ordonnance, le premier juge a retenu que l’appelant avait travaillé en qualité d'ouvrier en bijouterie entre 2005 et 2016. Depuis son licenciement, celui-ci avait suivi une formation pré- qualifiante dans le domaine des microtechniques du 12 juin au 21 juillet 2017, une formation d'initiation à la bureautique du 5 février 2018 au 9 mars 2019 et avait obtenu le certificat « BEM » (Bases engagement métier) le 25 avril 2023 dans la profession d'agent de sécurité. L’appelant avait essayé de développer une activité indépendante en tant que livreur, respectivement loueur de véhicules. Le président, ayant retenu que l’appelant était âgé de 53 ans et qu’il n’avait pas établi d’incapacité de travail liée à sa santé postérieure au 20 août 2024, a considéré que les recherches d’emploi de celui-ci effectuées du 12 juillet 2024 au 8 novembre 2024 étaient insuffisantes, cela d’autant plus qu’il était le père de deux enfants mineurs. Ayant constaté que l’appelant n’exploitait pas complètement sa capacité de gain, le premier juge a estimé qu’un revenu hypothétique devait lui être imputé. Compte tenu de ces éléments, il pouvait raisonnablement être attendu de l’appelant qu’il réintègre le marché du travail et trouve une activité lucrative pour un salaire équivalent à celui qu’il percevait dans le cadre de son emploi dans l’horlogerie, soit à hauteur d’un revenu mensuel</w:t>
      </w:r>
    </w:p>
    <w:p>
      <w:r>
        <w:t>- 11 - net de l’ordre de 3'600 fr. pour une activité à 100 %. Au vu des circonstances, le premier juge avait accordé un délai d’adaptation à l’appelant jusqu’au 1er mai 2025. Par conséquent, par ordonnance du 17 décembre 2024, le premier juge a dit qu’aucune contribution d’entretien n’était due pour les enfants du 1er mai 2024 au 31 avril 2025 et que l’appelant verserait une contribution d’entretien mensuelle pour sa fille de 290 fr. et pour son fils de 560 fr., allocations familiales et rentes pour enfant non comprises et dues en sus, payables d’avance le premier de chaque mois en mains de l’intimée, dès et y compris le 1er mai 2025. 3.3.1.2 Il ressort de l’ordonnance litigieuse que le premier juge a retenu les mêmes faits que ceux établis dans l’ordonnance du 17 décembre 2024. L’appelant avait travaillé en qualité d'ouvrier en bijouterie entre 2005 et 2016. Depuis son licenciement, celui-ci avait suivi une formation pré-qualifiante dans le domaine des microtechniques du 12 juin au 21 juillet 2017, une formation d'initiation à la bureautique du 5 février 2018 au 9 mars 2019 et avait obtenu le certificat « BEM » (Bases engagement métier) le 25 avril 2023 dans la profession d'agent de sécurité. L’appelant avait essayé de développer une activité indépendante en tant que livreur, respectivement loueur de véhicules. En outre, l’appelant avait allégué que dès le mois d’octobre 2025, il suivrait une formation de six mois, organisée par le centre social régional afin de l’aider à trouver un emploi. Le premier juge a par la suite exposé une motivation semblable à celle contenue dans l’ordonnance du 17 décembre 2024. Il a considéré que l’appelant, âgé de 54 ans et n’ayant pas démontré de problème de santé qui l’empêcheraient de travailler, était capable d’exercer une activité lucrative à un taux de 100 %. Tenu à des obligations d’entretien envers sa famille, l’appelant devait ainsi déployer tous les moyens possibles et nécessaires pour s’en acquitter. L’appelant n'exploitant pas complètement sa capacité de gain, il se justifiait de lui imputer un revenu hypothétique. Dès lors que l’appelant n’avait pas</w:t>
      </w:r>
    </w:p>
    <w:p>
      <w:r>
        <w:t>- 12 - démontré que sa situation professionnelle avait changé, en particulier qu’il était toujours sans activité lucrative, le premier juge a considéré qu’il avait la capacité d’obtenir un revenu hypothétique de l’ordre de celui retenu dans l’ordonnance du 17 décembre 2024. L’appelant était en mesure de réintégrer le marché du travail et de trouver une activité lucrative pour un salaire équivalent à celui qu’il percevait dans le cadre de son emploi dans l’horlogerie, soit à hauteur d’un revenu mensuel net de l’ordre de 3'600 francs. 3.3.2 En l’occurrence, on constate que le raisonnement de l’appelant, énoncé ci-dessus (cf. supra consid. 3.1), est erroné. Au moment de la reddition de l’ordonnance du 17 décembre 2024, l’appelant était déjà sans activité professionnelle lucrative. Dès lors, ce qu’il considère comme une prévision, est simplement le délai d’adaptation que le président lui a accordé par cette ordonnance pour trouver un emploi rémunéré. En lui impartissant un tel délai d’adaptation, puis en lui imputant un revenu hypothétique à l’échéance de ce délai, le président a précisément appliqué le concept même du revenu hypothétique puisqu’il a considéré que l’appelant bénéficiait d’un revenu quand bien même il aurait effectivement ou non trouvé un emploi. Contrairement à ce que prétend l’appelant, le premier juge a tenu compte de cette seconde hypothèse. L’appelant étant toujours sans activité lucrative au moment du dépôt de la requête en modification le 10 avril 2025, il n’y a pas de fait nouveau au sens de l’art. 179 CC. L’appelant fait également valoir un fait nouveau dès lors qu’il a pris à bail une pièce dans un appartement dès avril 2025, alors qu’il habitait chez un ami en décembre 2024. Toutefois, il ne démontre pas en quoi cela impacterait l’imputation d’un revenu hypothétique prononcée par le premier juge dans son ordonnance du 17 décembre 2024. Au demeurant, il ressort de l’ordonnance entreprise que le nouveau loyer mensuel de 960 fr., montant qui ressort de la pièce 5 produite par l’appelant à l’appui de la requête du 10 avril 2025, est inférieur de 240 fr. au loyer hypothétique retenu à hauteur de 1'200 fr. dans l’ordonnance du</w:t>
      </w:r>
    </w:p>
    <w:p>
      <w:r>
        <w:t>- 13 - 17 décembre 2024. Par conséquent, ce fait nouveau ne saurait justifier une suppression des contributions d’entretien dues en faveur des enfants. En outre, l’appelant n’apporte, dans sa requête du 10 avril 2025, aucun autre fait nouveau au sens de l’art. 179 CC qui démontrerait qu’il ne serait pas en mesure de percevoir un revenu semblable à celui qu’il réalisait précédemment, s’il exerçait à nouveau une activité qui peut raisonnablement être exigée de lui. Dans son appel, l’appelant fait valoir que les faits tels que son âge (54 ans), sa prétendue absence de diplôme reconnu en Suisse, sa mauvaise maîtrise du français et le manque d’activité professionnelle depuis 2016 seraient des obstacles pour retrouver une activité professionnelle. Toutefois, il n’expose pas en quoi ces faits s’opposeraient aux faits retenus dans l’ordonnance litigieuse ni en quoi cette ordonnance reprendrait à tort les mêmes faits que ceux retenus dans l’ordonnance du 17 décembre 2024 concernant sa situation financière et professionnelle (cf. supra consid. 3.3.1.1 et 3.3.1.2). Par conséquent, les faits concernant l’appelant, tels qu’énoncés ci-dessus, peuvent être confirmés. En outre, l’appelant prétend que le premier juge n’aurait pas tenu compte de l’hypothèse selon laquelle il serait incapable de trouver un emploi malgré de nombreux efforts pour des recherches approfondies. Au contraire, le président en a tenu compte dans l’ordonnance litigieuse. Il a retenu que l’appelant était toujours sans activité lucrative, s’étant prévalu de recherches d’emploi et ayant produit le relevé de ses recherches et offres de services qui étaient toutes restées infructueuses. Or, à cet égard, le président a constaté que l’appelant se limitait à présenter des offres d’emplois en tant qu’opérateur de machine ou comme chauffeur. Il a ainsi considéré que les offres ciblées et les recherches effectuées étaient insuffisantes. Le président a relevé que l’on pouvait attendre de l’appelant qu’il cherche du travail dans d'autres domaines d'activités ne nécessitant pas de formation particulière tels que dans la restauration, ou en tant qu'agent d'entretien, magasinier, manutentionnaire. L’appelant pouvait aussi chercher un emploi dans le domaine de la sécurité, cela d'autant plus qu'il avait suivi une formation en la matière. Il pouvait finalement</w:t>
      </w:r>
    </w:p>
    <w:p>
      <w:r>
        <w:t>- 14 - chercher une place de travail dans son ancienne sphère d'activité, à savoir celui d'ouvrier en bijouterie. On constate ainsi que le premier juge a apprécié la capacité de l’appelant à trouver un emploi malgré ses recherches infructueuses à ce jour et l’a confirmée, à juste titre. Par conséquent, le grief de l’appelant est infondé. Aussi, à l’appui de son appel, l’appelant a produit deux pièces qui indiquent qu’il bénéficie d’une mesure N.________ professionnelle, après avoir eu un entretien préalable le 1er octobre 2025. Cette mesure lui a été accordée pour six mois dès le 13 octobre 2025 jusqu’au 12 avril 2026, l’objectif étant d’identifier un projet professionnel et réaliste, évaluer le savoir-faire et le savoir-être en stage d’insertion et favoriser le retour à l’emploi. Le fait que cette mesure ait été octroyée à l’appelant et que celui-ci puisse en bénéficier démontre, contrairement à ce que prétend celui-ci, qu’il est en mesure de retrouver une activité professionnelle qui peut être raisonnablement exigée de sa part. En revanche, cette mesure ne constitue pas un fait nouveau au sens de l’art. 179 CC, dès lors qu’elle n’existait pas au moment du dépôt de la requête en modification déposée le 10 avril 2025. Il s’ensuit que ce fait ne justifie pas de modifier les mesures protectrices de l’union conjugale prononcées le 17 décembre 2024. 3.3.3 Pa conséquent, au vu de ce qui précède, on retient que l’appelant n’a démontré aucun fait nouveau, essentiel et durable, au sens de l’art. 179 CC qui se serait réalisé depuis la reddition de l’ordonnance du 17 décembre 2024, qui aurait existé au moment du dépôt de la requête en modification du 10 avril 2025 et qui aurait justifié de modifier les mesures protectrices de l’union conjugale prononcées le 17 décembre 2024 en supprimant les contributions dues en faveur des enfants (cf. supra consid. 3.2.1). Dans la mesure où par l’ordonnance querellée, le premier juge a confirmé ce qui avait été prononcé dans l’ordonnance du 17 décembre 2024, il ne se justifiait pas de fixer un nouveau délai d’adaptation à l’appelant. Au demeurant, on constate que le juge lui avait imparti un tel</w:t>
      </w:r>
    </w:p>
    <w:p>
      <w:r>
        <w:t>- 15 - délai jusqu’au 31 avril 2025 par ordonnance du 17 décembre 2024. Or, il appartenait à l’appelant de retrouver son indépendance économique lui permettant d'assumer son propre entretien et celui de ses enfants déjà depuis la séparation des parties intervenue le 21 avril 2024, puis à la suite de la requête de mesures protectrices de l’union conjugale déposée le 8 mai 2024 par l’intimée. Dès lors, le premier juge a maintenu, à juste titre, que l’appelant était tenu de verser des contributions d’entretien mensuelles de 290 fr. en faveur de sa fille et de 560 fr. en faveur de son fils, allocations familiales et rentes non comprises et en sus, payables d’avance le premier de chaque mois en mains de l’intimée, dès et y compris le 1er mai 2025. 4. Au vu de ce qui précède, l’appel, manifestement infondé, doit être rejeté selon le mode procédural de l’art. 312 al. 1 in fine CPC et l’ordonnance litigieuse confirmée. La requête d’assistance judiciaire doit être rejetée, un plaideur raisonnable ne tentant pas de soutenir en appel les arguments énoncés précédemment (art. 117 let. b CPC). Compte tenu de l’issue de la procédure d’appel, les frais judiciaires de deuxième instance, arrêtés à 600 fr., seront mis à la charge de l’appelant (art. 65 al. 2 TFJC [tarif des frais judiciaires civils du 28 septembre 2010 ; BLV 270.11.5]), qui succombe (art. 106 al. 1 CPC). Il n’y a pas lieu d’allouer de dépens à l’intimée, qui n’a pas été invitée à se déterminer.</w:t>
      </w:r>
    </w:p>
    <w:p>
      <w:r>
        <w:t>- 16 - Par ces motifs, la Juge unique de la Cour d’appel civile prononce : I. L’appel est rejeté. II. L’ordonnance est confirmée. III. La requête d’assistance judiciaire est rejetée. IV. Les frais judiciaires de deuxième instance, arrêtés à 600 fr. (six cents francs), sont mis à la charge l’appelant A.________. V. L’arrêt est exécutoire. La juge unique : La greffière : Du Le présent arrêt, dont la rédaction a été approuvée à huis clos, est notifié en expédition complète à : - Me Lionel Zeiter, av. (pour A.________), - Me Ana Rita Perez, av. (pour B.________), et communiqué, par l'envoi de photocopies, à : - M. le Président du Tribunal civil de l’arrondissement de la Côte.</w:t>
      </w:r>
    </w:p>
    <w:p>
      <w:r>
        <w:t>- 17 -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