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JS24.006122 vom 7. August 2025</w:t>
      </w:r>
    </w:p>
    <w:p>
      <w:r>
        <w:t>VD Tribunal cantonal, 2025-08-07, FR</w:t>
      </w:r>
    </w:p>
    <w:p>
      <w:r>
        <w:rPr>
          <w:b/>
        </w:rPr>
        <w:t xml:space="preserve">Quelle: </w:t>
      </w:r>
      <w:r>
        <w:t>https://mcp.opencaselaw.ch/entscheid/vd_gerichte_JS24.006122</w:t>
      </w:r>
    </w:p>
    <w:p>
      <w:r>
        <w:t>FR: VD_GERICHTE JS24.006122 du 7 août 2025</w:t>
      </w:r>
    </w:p>
    <w:p>
      <w:r>
        <w:t>IT: VD_GERICHTE JS24.006122 del 7 agosto 2025</w:t>
      </w:r>
    </w:p>
    <w:p>
      <w:pPr>
        <w:pStyle w:val="Heading2"/>
      </w:pPr>
      <w:r>
        <w:t>Erwägungen</w:t>
      </w:r>
    </w:p>
    <w:p>
      <w:r>
        <w:rPr>
          <w:b/>
        </w:rPr>
        <w:t>E. 3.1</w:t>
      </w:r>
    </w:p>
    <w:p>
      <w:r>
        <w:t>L’appelante se plaint d’une violation de son droit d'être entendu. Elle souligne qu’elle n’a pas été invitée par la première juge à se déterminer sur les procès-verbaux d’audition de ses filles. L’intimé rétorque que l’appelante a disposé du temps nécessaire à l’exercice spontané de son droit d'être entendu avant que l’ordonnance attaquée ne soit rendue. Il souligne au surplus que dans la mesure où la Cour de céans dispose du même pouvoir de cognition en fait et en droit que l’autorité précédente, une éventuelle violation du droit d'être entendu de l’appelante serait ainsi, dans tous les cas, réparée. La curatrice de représentation souligne que l’appelante n’a jamais manifesté l’intention de se déterminer à la suite de la transmission des procès-verbaux d’auditions de ses filles alors même qu’elle était parfaitement en mesure de le faire. Elle estime ainsi que l’ordonnance attaquée ne viole pas le droit d'être entendu de l’appelante qui n’a simplement pas fait usage de son droit à la réplique.</w:t>
      </w:r>
    </w:p>
    <w:p>
      <w:r>
        <w:rPr>
          <w:b/>
        </w:rPr>
        <w:t>E. 3.2.1</w:t>
      </w:r>
    </w:p>
    <w:p>
      <w:r>
        <w:t>Compris comme l'un des aspects de la notion générale de procès équitable au sens de l’art. 29 Cst. (Constitution fédérale de la Confédération suisse du 18 avril 1999 ; RS 101), le droit d'être entendu garantit notamment au justiciable le droit de s'expliquer avant qu'une décision ne soit prise à son détriment, d'avoir accès au dossier, de prendre</w:t>
      </w:r>
    </w:p>
    <w:p>
      <w:r>
        <w:t>- 12 -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(TF 5A_259/2024 du 24 juillet 2024 consid. 3.2 et les références citées).</w:t>
      </w:r>
    </w:p>
    <w:p>
      <w:r>
        <w:rPr>
          <w:b/>
        </w:rPr>
        <w:t>E. 3.2.2</w:t>
      </w:r>
    </w:p>
    <w:p>
      <w:r>
        <w:t>et les références citées). Ce refus ou ce retrait ne peut être demandé que si le bien de l'enfant l'exige impérieusement et qu'il est impossible de trouver une réglementation du droit de visite qui sauvegarde ses intérêts : la disposition a pour objet de protéger l'enfant, et non de punir les parents. Conformément au principe de proportionnalité, il importe en outre que cette menace ne puisse être écartée par d'autres mesures appropriées (TF 5A_842/2020 du 14 octobre 2021 consid. 5.1 et les références citées).</w:t>
      </w:r>
    </w:p>
    <w:p>
      <w:r>
        <w:rPr>
          <w:b/>
        </w:rPr>
        <w:t>E. 3.2.3</w:t>
      </w:r>
    </w:p>
    <w:p>
      <w:r>
        <w:t>La violation du droit d'être entendu peut être réparée lorsque la partie lésée a la possibilité de s'exprimer devant une autorité de recours jouissant d'un plein pouvoir d'examen. Une telle réparation doit toutefois rester l'exception et n'est admissible, en principe, que dans l'hypothèse d'une atteinte qui n'est pas particulièrement grave aux droits procéduraux</w:t>
      </w:r>
    </w:p>
    <w:p>
      <w:r>
        <w:t>- 13 - de la partie lésée.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Il 218 consid. 2.8.1 et les références citées).</w:t>
      </w:r>
    </w:p>
    <w:p>
      <w:r>
        <w:rPr>
          <w:b/>
        </w:rPr>
        <w:t>E. 3.3</w:t>
      </w:r>
    </w:p>
    <w:p>
      <w:r>
        <w:t>En l’occurrence, les enfants des parties ont été entendues le 3 mars 2025 et leurs procès-verbaux d'auditions ont été immédiatement transmis aux conseils des parties, ce que l’appelante ne conteste pas. La première juge pouvait se contenter de transmettre les documents pour information sans être tenue de fixer formellement un délai aux parties pour qu’elles se déterminent. En effet, le nouvel art. 53 al. 3 CPC en vigueur depuis le 1er janvier 2025 et selon lequel le juge doit impartir aux parties un délai de dix jours au moins pour se déterminer ne s'applique pas dans le cadre de la présente procédure, compte tenu de l'art. 407f CPC. Il appartenait alors à la partie intéressée de déposer ses observations sans tarder, ou au moins former une requête en ce sens. Faute d'avoir procédé ainsi, on doit constater que l’appelante a renoncé à son droit de réplique, étant relevé que le délai entre les auditions du 3 mars 2025 et la notification de l'ordonnance attaquée du 30 avril 2025 était bien plus que suffisant pour permettre aux parties de réagir. Par surabondance, l’appelante a pu pleinement s’exprimer dans le cadre de la présente procédure. Le grief de l’appelante doit donc être rejeté.</w:t>
      </w:r>
    </w:p>
    <w:p>
      <w:r>
        <w:rPr>
          <w:b/>
        </w:rPr>
        <w:t>E. 4.1</w:t>
      </w:r>
    </w:p>
    <w:p>
      <w:r>
        <w:t>L’appelante fait grief à la première juge d’avoir violé l’art. 273 al. 1 CC en suspendant son droit aux relations personnelles sur ses filles alors même que celles-ci seraient disposées à la revoir, qu'elle a, malgré ses consommations d'alcool, toujours eu pour priorité de leur assurer la meilleure prise en charge, qu'elle a mis en place un suivi régulier pour juguler sa consommation d'alcool dans le but de pouvoir</w:t>
      </w:r>
    </w:p>
    <w:p>
      <w:r>
        <w:t>- 14 - reprendre des relations avec ses filles, qu'elle bénéficie toujours d'un encadrement des professionnels de la santé et que dans son rapport du 17 septembre 2024, la DGEJ préconisait un droit de visite médiatisé. Ainsi l’appelante soutient qu'on ne discerne pas les raisons paraissant justifier la suppression de son droit de visite et que les filles se retrouvent dans un conflit de loyauté. L’intimé rappelle que les filles ont exprimé leur volonté de ne plus voir leur mère et qu’il est reproché à l’appelante des actes de harcèlement à leur égard, de ne pas respecter leur vécu traumatique et de continuer à fréquenter l’homme accusé d’actes d’ordre sexuels sur B.K.________dans le cadre d’une procédure pénale actuellement pendante. Il considère que le retrait de tout droit aux relations personnelles de l’appelante sur ses filles est conforme à l’intérêt bien compris de celles-ci. La DGEJ relève que le droit de visite de l’appelante avait déjà été suspendu par ordonnance de mesures superprovisionnelles du 3 octobre 2024 car celui-ci ne se déroulait pas de manière conforme aux intérêts des enfants et que le comportement de l’appelante blessait fortement B.K.________. Elle indique que les conclusions du rapport du 17 septembre 2024 ont été modifiées à l’audience du 20 janvier 2025 dans le sens d’une suspension du droit aux relations personnelles de l’appelante, compte tenu des nouveaux éléments apportés par le réseau de professionnels entourant les filles et la curatrice de représentation. La DGEJ insiste sur le fait qu’à ce jour, l’appelante ne semble pas en mesure de se centrer sur les besoins de ses enfants et de se remettre en question en reconnaissant notamment les souffrances de celles-ci. Elle estime ainsi que la suspension de son droit de visite respecte les intérêts supérieurs de B.K.________a et C.K.________. La curatrice de représentation souligne que l’appelante peine à comprendre qu’elle a causé un tort à ses filles, tant en ne les protégeant pas de leur bourreau qu’en ne cessant d’avoir des comportements irrationnels à leurs égards. Elle estime ainsi que le retrait du droit aux</w:t>
      </w:r>
    </w:p>
    <w:p>
      <w:r>
        <w:t>- 15 - relations personnelles de l’appelante sur ses filles s’inscrit dans la protection de l’intérêt bien compris de ces dernières.</w:t>
      </w:r>
    </w:p>
    <w:p>
      <w:r>
        <w:rPr>
          <w:b/>
        </w:rPr>
        <w:t>E. 4.2.1</w:t>
      </w:r>
    </w:p>
    <w:p>
      <w:r>
        <w:t>L’art. 273 al. 1 CC prévoit que le parent non-détenteur de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(art. 273 al. 2 CC), mais aussi comme un droit de la personnalité de l'enfant, dont il doit en premier lieu servir l’intérêt (TF 5A_268/2023 du 19 septembre 2023 consid. 3.1.2). Le droit aux relations personnelles vise à sauvegarder le lien existant entre parents et enfants. Les relations personnelles permettent aux père et mère non-gardiens de participer au développement de l’enfant malgré l’absence de communauté domestique, et à l’enfant de maintenir un contact avec ses deux parents (Meier/Stettler, Droit de la filiation, 6e éd., 2019, n. 965, p. 616). Le Tribunal fédéral relève à cet égard qu’il est unanimement reconnu que le rapport de l’enfant avec ses deux parents est essentiel et qu’il peut jouer un rôle décisif dans le processus de recherche d’identité de l’enfant (TF 5A_398/2022 du 29 novembre 2022 consid 7.1 et les références citées).</w:t>
      </w:r>
    </w:p>
    <w:p>
      <w:r>
        <w:rPr>
          <w:b/>
        </w:rPr>
        <w:t>E. 4.2.2</w:t>
      </w:r>
    </w:p>
    <w:p>
      <w:r>
        <w:t>L'importance et le mode d'exercice des relations personnelles doivent être appropriés à la situation, autrement dit tenir équitablement compte des circonstances particulières du cas. Le bien de l'enfant est le facteur d'appréciation le plus important (TF 5A_398/2022 ibidem) et dans chaque cas, la décision doit donc être prise de manière à répondre le mieux possible à ses besoins (TF 5A _739/2023 du 26 mars 2024 consid. 6.1 et les références citées), l'intérêt des parents étant relégué à l'arrière- plan (TF 5A_389/2022 du 29 novembre 2022 consid. 7.1). L’intérêt de l’enfant variera en fonction de son âge, de sa santé physique et psychique et de la relation qu'il entretient avec l'ayant</w:t>
      </w:r>
    </w:p>
    <w:p>
      <w:r>
        <w:t>- 16 - droit.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(TF 5A_389/2022 précité consid. 7.1).</w:t>
      </w:r>
    </w:p>
    <w:p>
      <w:r>
        <w:rPr>
          <w:b/>
        </w:rPr>
        <w:t>E. 4.2.3</w:t>
      </w:r>
    </w:p>
    <w:p>
      <w:r>
        <w:t>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en tant qu'ultima ratio (art. 274 al. 2 CC ; TF 5A_95/2023 du 17 juillet 2023 consid. 4.2.1). Il y a danger pour le bien de l'enfant, au sens de cette disposition, si son développement physique, moral ou psychique est menacé par la présence même limitée du parent qui n'a pas l'autorité parentale (TF 5A_51/2025 du 1er avril 2024 consid.</w:t>
      </w:r>
    </w:p>
    <w:p>
      <w:r>
        <w:rPr>
          <w:b/>
        </w:rPr>
        <w:t>E. 4.3</w:t>
      </w:r>
    </w:p>
    <w:p>
      <w:r>
        <w:t>En l’espèce, par ordonnance de mesures protectrices de l'union conjugale du 18 avril 2024, la première juge a médiatisé le droit de visite de l’appelante sur ses enfants, dans un premier temps par l'intermédiaire de la médiatrice, puis par le biais d'Espace Contact en fonction des places disponibles de cette institution, étant précisé qu'il appartiendrait à la médiatrice, respectivement à Espace Contact, de fixer les modalités exactes du droit de visite . Dans son rapport du 17 septembre 2024, la DGEJ a expliqué que B.K.________ et C.K.________ avaient été exposées à des</w:t>
      </w:r>
    </w:p>
    <w:p>
      <w:r>
        <w:t>- 17 - comportements extrêmement inadéquats de la part des adultes et que l’appelante se trouvait dans l'incapacité de se centrer sur les besoins de ses filles en raison de son importante problématique de consommation d'alcool et ses fragilités au niveau de sa santé psychologique. La DGEJ a relevé que, même si l’appelante bénéficiait d'un suivi thérapeutique, elle devait toutefois prendre le temps nécessaire afin d'aller vers une amélioration de sa situation de vie et qu'il fallait que son état de santé se stabilise avant de pouvoir travailler sur des aspects de réhabilitation de sa parentalité. Dans sa requête du 30 septembre 2024, la curatrice de représentation a expliqué que la médiation mise en place auprès de la médiatrice ne se déroulait pas à satisfaction, le lien de confiance n'ayant pu se créer, et que B.K.________ voulait mettre un terme aux visites afin de disposer de temps pour se reconstruire. Elle a relevé que celle-ci était extrêmement blessée par les propos tenus par l’appelante en relation avec l’affaire pénale et ses problèmes de consommation excessive d’alcool. La curatrice de représentation a également souligné que B.K.________ était harcelée par sa mère, qui tentait presque tous les jours de la joindre par téléphone, envoyait ses amies pour qu'elles fassent part à ses filles de son mécontentement et se présentait fréquemment dans les environs de l'école ou du quartier des enfants. Elle a également allégué qu'il semblait que l’appelante concluait des abonnements de téléphone et des assurances aux noms de ses deux filles, leur occasionnant ainsi un préjudice financier. Lors de l'audience du 20 janvier 2025, la DGEJ a relevé qu'elle avait reçu un retour très mitigé au sujet du droit de visite. Elle a expliqué qu'il y avait parfois eu des refus des filles d'honorer celui-ci et que la médiatrice était intervenue pour leur expliquer qu'elles devaient aller voir leur mère. La représentante de la DGEJ a indiqué qu’elle estimait qu’il s’agissait d’un discours culpabilisant pour elles et qu'il était contre- productif de les forcer à revoir l’appelante alors qu'elles étaient en période de reconstruction. Elle a, comme la curatrice de représentation, préconisé la suspension du droit de visite.</w:t>
      </w:r>
    </w:p>
    <w:p>
      <w:r>
        <w:t>- 18 - Lors de son audition, C.K.________ a notamment indiqué que sa mère lui manquait un peu, mais qu'elle ne voudrait pas la revoir tant qu'elle continuerait à être en relation avec l'homme qui avait fait du mal à sa sœur. B.K.________ a quant à elle confirmé qu'elle ne voulait plus voir sa mère alors qu’elle continuait à fréquenter un homme qui lui avait fait du mal et qu'elle n’appréciait pas. Elle a indiqué qu'elle en voulait à sa mère, qu'elle aimait, mais qui minimisait ce dont elle avait été victime et la faisait culpabiliser en disant que c'était sa faute. Au regard des éléments précités, on doit relever que l’appelante ne semble pas parvenir à se centrer sur les besoins de ses filles, ni à reconnaître les souffrances de ces dernières, que cela soit en lien avec sa consommation d'alcool ou avec les actes d'ordre sexuel dont elles auraient été victimes. Les professionnels s’entendent sur le fait que l'appelante doit s'inscrire dans un processus de soins et travailler sur sa parentalité avant de pouvoir renouer avec ses enfants et que le travail à effectuer doit avoir pour objectif de pouvoir reconnaître les violences commises sur ses filles et travailler sur les comportements à risques pour ces dernières, à savoir sur ses alcoolisations et les comportements harcelants dont elle fait preuve. Les éléments qui précèdent démontrent que le maintien des relations personnelles entre l’appelante et ses filles n’est pas dans l’intérêt de ces dernières. Quant au principe de proportionnalité, il sied de constater que le droit de visite médiatisé précédemment prononcé n'a pas porté ses fruits et que celui-ci ne pourra pas être remis en place sans prise de conscience et changements de l’appelante. Il découle de ce qui précède que les mesures moins incisives qui ont été mises en œuvre n’ont pas permis de préserver les enfants. La suspension du droit aux relations personnelles de l’appelante s’avère ainsi</w:t>
      </w:r>
    </w:p>
    <w:p>
      <w:r>
        <w:t>- 19 - être la seule mesure adéquate et conforme à l’intérêt bien compris de B.K.________ et de C.K.________. Le grief de l’appelante sera aussi rejeté.</w:t>
      </w:r>
    </w:p>
    <w:p>
      <w:r>
        <w:rPr>
          <w:b/>
        </w:rPr>
        <w:t>E. 5.1</w:t>
      </w:r>
    </w:p>
    <w:p>
      <w:r>
        <w:t>En définitive, l’appel doit être rejeté et l’ordonnance confirmée.</w:t>
      </w:r>
    </w:p>
    <w:p>
      <w:r>
        <w:rPr>
          <w:b/>
        </w:rPr>
        <w:t>E. 5.2</w:t>
      </w:r>
    </w:p>
    <w:p>
      <w:r>
        <w:t>En l’occurrence, Me P.________ a produit une liste d’opérations faisant état de 6 heures et 45 minutes consacrées à la représentation des enfants B.K.________et C.K.________dans la procédure d’appel. Ce décompte peut être admis. Les parties étant au bénéfice de l’assistance judiciaire, il convient d’arrêter le tarif horaire de la curatrice de représentation des enfants à 180 francs. Il s’ensuit que l’indemnité de Me P.________ doit être fixée à 1'215 fr., montant auquel s’ajoutent les débours (art. 19 al. 2 TDC [tarif des dépens en matière civile du 23 novembre 2010 ; BLV 270.11.6] ; 2 % en deuxième instance) par 24 fr. 30 et la TVA sur le tout par 100 fr. 40, soit une indemnité totale de 1’339 fr. 70.</w:t>
      </w:r>
    </w:p>
    <w:p>
      <w:r>
        <w:rPr>
          <w:b/>
        </w:rPr>
        <w:t>E. 5.3</w:t>
      </w:r>
    </w:p>
    <w:p>
      <w:r>
        <w:t>Les frais judiciaires de deuxième instance, arrêtés à 2'139 fr. 70 (600 fr. d'émolument forfaitaire de décision pour l'arrêt final [art. 65 al. 2 TFJC (tarif des frais judiciaires civils du 28 septembre 2020 ; BLV 270.11.5)] + 200 fr. pour la décision de mesures superprovisionnelles [art. 30 TFJC par analogie] + 1'339 fr. 70 d’indemnité allouée à la curatrice de représentation), seront mis à charge de l’appelante qui succombe (art. 106 al.1 CPC). Les frais judiciaires seront provisoirement supportés par l’Etat au vu du bénéfice de l’assistance judiciaire accordé à l’appelante.</w:t>
      </w:r>
    </w:p>
    <w:p>
      <w:r>
        <w:t>- 20 -</w:t>
      </w:r>
    </w:p>
    <w:p>
      <w:r>
        <w:rPr>
          <w:b/>
        </w:rPr>
        <w:t>E. 5.4</w:t>
      </w:r>
    </w:p>
    <w:p>
      <w:r>
        <w:t>L’intimé ayant été invité à procéder, il y a lieu de lui allouer des dépens de deuxième instance, arrêtés à 800 fr., débours inclus (art. 3 al. 2, 9 et 19 al. 2 TDC). L’appelante devra donc verser ce montant au conseil de l’intimé (art. 96 al. 2 CPC ; art. 47 al. 1 LPAv [Loi du 9 juin 2015 sur la profession d’avocat ; BLV 177.11]), étant rappelé que l’assistance judiciaire ne dispense pas du versement de dépens à la partie adverse (art. 122 al. 1 let. d CPC).</w:t>
      </w:r>
    </w:p>
    <w:p>
      <w:r>
        <w:rPr>
          <w:b/>
        </w:rPr>
        <w:t>E. 5.5</w:t>
      </w:r>
    </w:p>
    <w:p>
      <w:r>
        <w:t>L’intimé a requis l’assistance judiciaire pour la procédure d’appel, qui doit lui être accordée, dès lors qu’il ne dispose pas des ressources nécessaires pour assurer la défense de ses intérêts et que sa cause n'était pas d'emblée dénuée de toute chance de succès (art. 117 let. a et b CPC). Me Raphaël Hämmerli est donc désigné en qualité de conseil d'office de l'intimé.</w:t>
      </w:r>
    </w:p>
    <w:p>
      <w:r>
        <w:rPr>
          <w:b/>
        </w:rPr>
        <w:t>E. 5.6</w:t>
      </w:r>
    </w:p>
    <w:p>
      <w:r>
        <w:t>En l’espèce, Me Frédéric Isler, conseil d’office de l’appelante, a indiqué avoir consacré 11 heures et 41 minutes à la cause. Vu la nature du litige et les difficultés de la cause, il y a lieu d’admettre ce nombre d’heures. Il s’ensuit qu’au tarif horaire de 180 fr., l’indemnité de Me Frédéric Isler doit être fixée à 2’103 fr. (11.41 h x 180 fr.), montant auquel il convient d’ajouter des débours par 42 fr. 05 (2 % x 2'103 fr., art. 3bis al. 1 RAJ), ainsi que la TVA à 8.1 % sur l’ensemble, soit 173 fr. 75, pour un total de 2'318 fr. 80. Me Raphaël Hämmerli, conseil d’office de l’intimé, a indiqué avoir consacré 3 heures et 55 minutes à la cause. Ce décompte paraît justifié et peut être admis. Il s’ensuit qu’au tarif horaire de 180 fr., l’indemnité de Me Raphaël Hämmerli doit être fixée à 705 fr. (3.55 h x 180 fr.), montant auquel il convient d’ajouter des débours par 14 fr. 10 (2 % x 705 fr., art. 3bis al. 1 RAJ), ainsi que la TVA à 8.1 % sur l’ensemble, soit 58 fr. 25, pour un total de 777 fr. 35.</w:t>
      </w:r>
    </w:p>
    <w:p>
      <w:r>
        <w:t>- 21 - Les bénéficiaires de l’assistance judiciaire rembourseront les frais judiciaires de deuxième instance et les indemnités allouées à leurs conseils d’office, provisoirement supportés par l’Etat, dès qu’ils seront en mesure de le faire (art. 123 CPC). Il incombe à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est rejeté. II. L’ordonnance est confirmée. III. La requête d’assistance judiciaire formée par l’intimé A.K.________ est admise, Me Raphaël Hämmerli étant désigné en qualité de conseil d’office de l’intimé. IV. Les frais judiciaires de deuxième instance, arrêtés à 2'139 fr. 70 (deux mille cent trente-neuf francs et septante centimes), sont mis à la charge de l’appelante W.________, montant supporté provisoirement par l’Etat. V. L’indemnité de Me P.________, curatrice de représentation des enfants B.K.________et C.K.________, est arrêtée à 1'339 fr. 70 (mille trois cent trente-neuf francs et septante centimes), débours et TVA comprises.</w:t>
      </w:r>
    </w:p>
    <w:p>
      <w:r>
        <w:t>- 22 - VI.L’indemnité de Me Frédéric Isler, conseil d’office de l’appelante W.________, est arrêtée à 2'318 fr. 80 (deux mille trois cent dix- huit francs et huitante centimes), débours et TVA comprises. VII. L’indemnité de Me Raphaël Hämmerli, conseil d’office de l’intimé A.K.________, est arrêtée à 777 fr. 35 (sept cent septante-sept francs et trente-cinq centimes), débours et TVA comprises. VIII.Les bénéficiaires de l’assistance judiciaire sont tenus au remboursement de la part des frais judiciaires mise à leur charge et de l’indemnité de leur conseil d’office respectif, provisoirement laissés à la charge de l’Etat, dès qu’ils seront en mesure de le faire. IX. L’appelante W.________ versera à Me Raphaël Hämmerli, conseil d’office de l’intimé A.K.________, un montant de 800 fr. (huit cents francs), à titre de dépens de deuxième instance. X. Si Me Raphaël Hämmerli obtient le paiement des dépens fixé sous chiffre IX ci-dessus de la part de l’appelante W.________, ce montant sera déduit du montant alloué à titre d’indemnité d’office sous chiffre VII ci-dessus. XI. L’arrêt est exécutoire. La juge unique : La greffière :</w:t>
      </w:r>
    </w:p>
    <w:p>
      <w:r>
        <w:t>- 23 - Du Le présent arrêt, dont la rédaction a été approuvée à huis clos, est notifié en expédition complète à : - Me Frédéric Isler (pour W.________), - Me Raphaël Hämmerli (pour A.K.________), - Me P.________ (pour B.K.________et C.K.________), et communiqué, par l'envoi de photocopies, à : - Mme la Présidente du Tribunal civil de l'arrondissement de la Broye et du Nord vaudois, - La Direction générale de l’enfance et de la jeunesse, Office régional de protection des mineurs [...]. La Juge unique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- 24 -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