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JS23.052156 vom 3. Dezember 2024</w:t>
      </w:r>
    </w:p>
    <w:p>
      <w:r>
        <w:t>VD Tribunal cantonal, 2024-12-03, FR</w:t>
      </w:r>
    </w:p>
    <w:p>
      <w:r>
        <w:rPr>
          <w:b/>
        </w:rPr>
        <w:t xml:space="preserve">Quelle: </w:t>
      </w:r>
      <w:r>
        <w:t>https://mcp.opencaselaw.ch/entscheid/vd_gerichte_JS23.052156</w:t>
      </w:r>
    </w:p>
    <w:p>
      <w:r>
        <w:t>FR: VD_GERICHTE JS23.052156 du 3 décembre 2024</w:t>
      </w:r>
    </w:p>
    <w:p>
      <w:r>
        <w:t>IT: VD_GERICHTE JS23.052156 del 3 dicembre 2024</w:t>
      </w:r>
    </w:p>
    <w:p>
      <w:pPr>
        <w:pStyle w:val="Heading2"/>
      </w:pPr>
      <w:r>
        <w:t>Erwägungen</w:t>
      </w:r>
    </w:p>
    <w:p>
      <w:r>
        <w:rPr>
          <w:b/>
        </w:rPr>
        <w:t>E. 3</w:t>
      </w:r>
    </w:p>
    <w:p>
      <w:r>
        <w:t>novembre 2020 consid. 4.2.1). En vertu de la maxime inquisitoire illimitée (art. 296 al. 1 CPC), le juge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références ; TF 5A_329/2022 du 2 novembre 2022 consid. 3.1.3). Les parties ne supportent généralement ni le fardeau de l'allégation ni celui de l'administration des preuves, même si la maxime inquisitoire doit être relativisée par leur devoir de collaborer, lequel comprend l'obligation</w:t>
      </w:r>
    </w:p>
    <w:p>
      <w:r>
        <w:t>- 12 - d'apporter, dans la mesure où cela est raisonnablement exigible, les preuves commandées par la nature du litige et des faits invoqués (ATF 140 III 485 consid. 3.3 ; ATF 128 III 411 consid. 3.2.1 ; TF 5A_79/2023 du 24 août 2023 consid. 3.3.3). 2.4 2.4.1 Lorsque la constatation des faits est soumise à la maxime inquisitoire illimitée (art. 296 al. 1 CPC), les faits et moyens de preuve nouveaux sont recevables en deuxième instance sans restriction et indépendamment de savoir si elles satisfont aux réquisits de l’art. 317 al. 1 CPC (ATF 144 III 349 consid. 4.2.1 ; TF 5A_582/2020 du 7 octobre 2021 consid. 4.1.4), jusqu’à la clôture des débats finaux ou l’envoi d’un avis gardant la cause à juger (ATF 143 III 272 consid. 2.3.2, SJ 2017 I 323 ; ATF 142 III 413 consid. 2.2, JdT 2017 II 153, SJ 2017 I 16). 2.4.2 Dans son acte d’appel, l’appelant a allégué 37 faits nouveaux et produit le procès-verbal de l’audition de l’intimée du 18 juillet 2024 par le Ministère public de l’arrondissement de La Côte (pièce 203). Ces allégués et cette pièce, qui n’avait pas été produite en première instance, sont recevables. Les allégués nos 6 à 10 font mention de déclarations faites par l’intimée dans le cadre de l’enquête ouverte contre l’appelant, pour lesquels la pièce 203 précitée est mentionnée comme moyen de preuve. Les faits en question ont été intégrés dans le présent arrêt (cf. En fait, let. C, ch. 12), dans une mesure toutefois plus large que celle alléguée pour éviter de prendre en compte des déclarations sorties de leur contexte. Au surplus, les allégués indiquent comme moyens de preuve les déclarations des parties, l’absence de preuve contraire ou l’appréciation. L’appelant requiert ainsi implicitement la tenue d’une audience d’appel. Dans la mesure où l’appelant n’a pas collaboré à la procédure de première instance en faisant défaut aux deux audiences, on ne saurait ici considérer qu’il faille fixer une audience d’appel pour compléter une instruction qui n'a pas pu être menée pleinement en raison</w:t>
      </w:r>
    </w:p>
    <w:p>
      <w:r>
        <w:t>- 13 - du défaut de l’appelant. Partant, les faits en question ne sont pas rendus suffisamment vraisemblables pour être pris en compte. Au demeurant, les allégations concernées ne sauraient avoir une incidence sur le sort de la cause, au vu des éléments indiqués plus bas. Quant à l’extrait du dossier médical, il a été produit par l’appelant après que la cause ait été gardée à juger. Or, indépendamment de la maxime applicable à la procédure quant à l'établissement des faits, la seconde instance cantonale n’est plus tenue de prendre en compte d’office les faits et moyens de preuve nouveaux après avoir informé les parties que la cause était en état d'être jugée et que la phase des délibérations était ainsi censée avoir commencé (ATF 143 III 272 consid. 2.3.2 in fine ; TF 5A_430/2023 du 16 février 2024 consid. 3.1 et 3.3 ; TF 5A_654/2022 du 21 décembre 2023 consid. 3.2). Partant, la pièce en question est irrecevable.</w:t>
      </w:r>
    </w:p>
    <w:p>
      <w:r>
        <w:rPr>
          <w:b/>
        </w:rPr>
        <w:t>E. 3.1</w:t>
      </w:r>
    </w:p>
    <w:p>
      <w:r>
        <w:t>L’appelant soutient tout d’abord qu’il se justifierait de le faire bénéficier d’un droit de visite sur son fils à raison d’un samedi sur deux durant deux heures par l’intermédiaire du Point Rencontre dans un premier temps, à élargir ensuite peu à peu jusqu’à la mise en place d’un droit de visite usuel. Il relève en substance que les deux parties auraient adhéré au principe d’un droit de visite, que jusqu’à l’ordonnance contestée, ses capacités parentales ne pouvaient pas être mises en doute, que son statut en Suisse ne pouvait pas constituer un argument pour refuser la mise en place d’un droit de visite, qu’il n’y avait pas lieu de soumettre le droit de visite à la preuve qu’il soit de retour en Suisse, un droit de visite toutes les deux semaines pouvant s’exercer quand bien même il résiderait en Italie et qu’à ce jour, rien ne permettrait d’établir qu’il était domicilié en Italie.</w:t>
      </w:r>
    </w:p>
    <w:p>
      <w:r>
        <w:rPr>
          <w:b/>
        </w:rPr>
        <w:t>E. 3.2</w:t>
      </w:r>
    </w:p>
    <w:p>
      <w:r>
        <w:t>Aux termes de l'art. 273 al. 1 CC (Code civil suisse du 10 décembre 1907 ; RS 210), auquel renvoie l'art. 176 al. 3 CC, le père ou la mère qui ne détient pas l'autorité parentale ou la garde, ainsi que l'enfant mineur, ont réciproquement le droit d'entretenir les relations personnelles</w:t>
      </w:r>
    </w:p>
    <w:p>
      <w:r>
        <w:t>- 14 - indiquées par les circonstances. Le droit aux relations personnelles est considéré à la fois comme un droit et un devoir des parents, mais aussi comme un droit de la personnalité de l'enfant, qui doit servir en premier lieu l'intérêt de celui-ci (ATF 131 III 209 consid. 5 ; TF 5A_268/2023 du 19 septembre 2023 consid. 3.1.2) ; dans chaque cas, la décision doit donc être prise de manière à répondre le mieux possible à ses besoins, l'intérêt des parents étant relégué à l'arrière-plan (ATF 142 III 617 consid. 3.2.3 ; ATF 130 III 585 consid. 2.2.1). Si les relations personnelles compromettent sérieusement le développement de l'enfant, si les père et mère qui les entretiennent violent leurs obligations, s'ils ne se sont pas souciés sérieusement de l'enfant ou s'il existe d'autres justes motifs, le droit d'entretenir ces relations peut leur être retiré ou refusé en tant qu'ultima ratio (art. 274 al. 2 CC ; TF 5A_95/2023 du 17 juillet 2023 consid. 4.2.1 ; TF 5A_501/2022 du 21 juin 2023 consid. 3.2.2 ; TF 5A_152/2022 du 5 juin 2023 consid. 4.2).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5A_177/2022 du 14 septembre 2022 consid. 3.1.1 ; TF 5A_874/2021 du 13 mai 2022 consid. 4.1.1 et les réf. citées).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5A_177/2022 du 14 septembre 2022 consid. 3.1.1 ; TF 5A_874/2021 du 13 mai 2022 consid. 4.1.1 et les réf. citées).</w:t>
      </w:r>
    </w:p>
    <w:p>
      <w:r>
        <w:t>- 15 -</w:t>
      </w:r>
    </w:p>
    <w:p>
      <w:r>
        <w:rPr>
          <w:b/>
        </w:rPr>
        <w:t>E. 3.3</w:t>
      </w:r>
    </w:p>
    <w:p>
      <w:r>
        <w:t>ci-dessus), est susceptible d’entraver la collaboration entre parents. Son absence aux deux audiences de première instance constitue d’ailleurs un indice concret d’un manque de volonté de collaborer. Enfin, le fait de ne plus avoir de contact régulier avec son enfant permet d’avoir des doutes sur sa capacité à se forger un avis éclairé sur des questions importantes qui concernent ce dernier. Face à ces éléments, les arguments de l’appelant, selon lesquels il demeurerait atteignable sur son téléphone portable et n’aurait jamais été agressif avec son enfant, sont insuffisants à faire admettre que l’autorité parentale conjointe doit être maintenue. Ainsi, même si l’autorité parentale exclusive doit rester l’exception, il se justifie de considérer qu’en l’espèce, l’autorité parentale conjointe n’est pas commandée par les circonstances. Partant, ce moyen doit également être rejeté.</w:t>
      </w:r>
    </w:p>
    <w:p>
      <w:r>
        <w:rPr>
          <w:b/>
        </w:rPr>
        <w:t>E. 4.1</w:t>
      </w:r>
    </w:p>
    <w:p>
      <w:r>
        <w:t>L’appelant reproche ensuite à la première juge de ne pas avoir maintenu l’autorité parentale conjointe, faisant valoir que les conditions très restrictives d’une attribution exclusive de l’autorité parentale à l’intimée ne seraient pas remplies en l’espèce. Il relève en substance qu’il n’aurait jamais montré le moindre signe d’agressivité envers son fils, que l’intimée ne s’était d’ailleurs plus opposée à la mise en place d’un droit de visite, que les parties étaient jusqu’à ce jour toujours parvenue à discuter et à prendre des décisions concernant leur enfant, que l’intimée était toujours parvenue à prendre contact avec lui dans un délai raisonnable, qu’en dépit de ce que la première juge avait retenu, il n’était pas établi que l’intimée avait dû faire face à un mutisme et aux absences de sa part et que l’intimée n’avait fait mention d’aucune situation qui aurait engendré une menace pour l’enfant.</w:t>
      </w:r>
    </w:p>
    <w:p>
      <w:r>
        <w:rPr>
          <w:b/>
        </w:rPr>
        <w:t>E. 4.2</w:t>
      </w:r>
    </w:p>
    <w:p>
      <w:r>
        <w:t>Selon l’art. 296 al. 2 CC, l’enfant est soumis, pendant sa minorité, à l’autorité parentale conjointe de ses père et mère. L’art. 298 CC prévoit toutefois que dans le cadre d’une procédure de divorce ou d’une procédure de protection de l’union conjugale, le juge confie à l’un des parents l’autorité parentale exclusive si le bien de l’enfant le commande.</w:t>
      </w:r>
    </w:p>
    <w:p>
      <w:r>
        <w:t>- 17 - Pour s'écarter de l'autorité parentale conjointe et attribuer l'autorité parentale à l'un des parents seulement, selon les art. 298 ss CC, il n'est pas exigé que les conditions de l'art. 311 CC pour le retrait de l'autorité parentale soient réalisées.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 Il est, dans tous les cas, nécessaire que le conflit ou le défaut de communication soit important et chronique. Des litiges ponctuels ou des divergences d'opinion, comme il peut y en avoir dans chaque famille, en particulier en cas de séparation ou de divorce, ne sont pas des raisons qui justifient d'attribuer l'autorité parentale à un seul des parents, au regard du but de la modification législative recherché. Par conséquent, en cas de conflit, certes important, mais portant sur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141 III 472 précité consid. 4.7).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précité consid. 4.3).</w:t>
      </w:r>
    </w:p>
    <w:p>
      <w:r>
        <w:t>- 18 - Pour attribuer l’autorité parentale à un seul des parents, il est nécessaire que les problèmes de ces derniers s'étendent à l'ensemble des questions qui concernent l'enfant et qu'ils compromettent concrètement le bien de l'enfant, des constatations concrètes étant nécessaires à cet égard. De plus, il faut que l'attribution ou le maintien de l'autorité parentale exclusive apaise la situation, respectivement empêche une aggravation imminente (TF 5A_809/2018 du 18 décembre 2019 consid. 4.2.2). L’absence de tous contacts entre un parent et l’enfant depuis de nombreuses années peut aussi justifier un refus d’autorité parentale conjointe, celle-ci ne pouvant tout simplement pas être exercée lorsqu’un parent – même sans sa faute – ne dispose d’aucun renseignement sur l’enfant (TF 5A_926/2014 du 28 août 2015 consid. 3.4 ; dans ce cas, l’enfant était par ailleurs à la veille de sa majorité). Il en a été jugé de même pour une fillette âgée de six ans qui n’avait plus vu son père depuis l’âge de 15 mois (ATF 142 III 197, JdT 2017 II 179), ou pour un enfant qui n’avait pas vu son père pendant deux ans en raison d’une détention à des fins d’expulsion et qui, depuis son retour en Suisse, ne l’avait revu qu’à deux reprises (TF 5A_214/2017 du 14 décembre 2017, consid. 4.3).</w:t>
      </w:r>
    </w:p>
    <w:p>
      <w:r>
        <w:rPr>
          <w:b/>
        </w:rPr>
        <w:t>E. 4.3</w:t>
      </w:r>
    </w:p>
    <w:p>
      <w:r>
        <w:t>En l’espèce, l’appelant consomme régulièrement de l’alcool et de la drogue et n’a rien entrepris pour lutter contre ces dépendances. Les messages envoyés à son épouse – alors qu’il était vraisemblablement sous l’effet d’alcool ou de drogue – sont par ailleurs particulièrement violents et inquiétants. L’intimée a certes déclaré le 18 juillet 2024 devant le Ministère public qu’il avait été gentil et sobre lors du contact téléphonique qu’ils avaient eu le jour d’avant, que depuis l’intervention de son avocat il avait compris qu’il y avait des limites dans la manière de s’adresser à elle, qu’il lui avait dit qu’il priait tous les jours pour son fils, que son envie d’être père changeait peut-être, qu’elle ne voulait pas de guerre entre eux et qu’elle lui souhaitait le meilleur. Il ressort toutefois également de ses déclarations qu’elle ne se sent pas en sécurité avec lui, qu’il s’auto-détruit avec ses consommations, que même en plein Ramadan il n’avait pas été capable de mettre de côté leurs différends et qu’il avait notamment été</w:t>
      </w:r>
    </w:p>
    <w:p>
      <w:r>
        <w:t>- 19 - question d’un suivi à l’Ale mais qu’il n’y était pas allé. Les éventuels contacts entre les parties et leur nature, respectivement leur teneur, sont donc manifestement dépendants de l’éventuelle consommation de l’appelant, ou encore de son état d’esprit envers l’intimée. Dans ces circonstances et même si l’appelant est un père aimant comme il le soutient, il est peu probable que celui-ci soit à même de collaborer suffisamment avec l’intimée afin de prendre des décisions servant le bien de son enfant. A cela s’ajoute que son mutisme absolu sur sa situation personnelle et son domicile, comme on l’a déjà vu plus haut (cf. consid.</w:t>
      </w:r>
    </w:p>
    <w:p>
      <w:r>
        <w:rPr>
          <w:b/>
        </w:rPr>
        <w:t>E. 5.1</w:t>
      </w:r>
    </w:p>
    <w:p>
      <w:r>
        <w:t>Au vu de ce qui précède, l’appel, manifestement infondé, doit être intégralement rejeté et l’ordonnance entreprise confirmée.</w:t>
      </w:r>
    </w:p>
    <w:p>
      <w:r>
        <w:rPr>
          <w:b/>
        </w:rPr>
        <w:t>E. 5.2</w:t>
      </w:r>
    </w:p>
    <w:p>
      <w:r>
        <w:t>L’appel ayant été d’emblée dénué de chances de succès au sens de l’art. 117 let. b CPC, la requête d’assistance judiciaire de l’appelant doit être rejetée.</w:t>
      </w:r>
    </w:p>
    <w:p>
      <w:r>
        <w:rPr>
          <w:b/>
        </w:rPr>
        <w:t>E. 5.3</w:t>
      </w:r>
    </w:p>
    <w:p>
      <w:r>
        <w:t>Les frais judiciaires de deuxième instance, arrêtés à 800 fr., qui comprennent 600 fr. d’émolument de décision (art. 63 al. 1 TFJC [tarif des frais judiciaires civils du 28 septembre 2010 ; BLV 270.11.5]) et 200 fr.</w:t>
      </w:r>
    </w:p>
    <w:p>
      <w:r>
        <w:t>- 20 - pour la décision sur l’effet suspensif du 23 septembre 2024 (art. 7 et 60 TFJC), doivent être mis à la charge de l’appelant, qui succombe (art. 106 al. 1 CPC). Il ne sera pas alloué de dépens, l’intimée n’ayant pas été invitée à se déterminer sur l’appel. Par ces motifs, le Juge unique de la Cour d’appel civile prononce : I. L’appel est rejeté. II. L’ordonnance est confirmée. III. La requête d’assistance judicaire de l’appelant X.________ est rejetée. IV. Les frais judiciaires de deuxième instance, arrêtés à 800 fr. (huit cents francs), sont mis à la charge de l’appelant X.________. V. L’arrêt est exécutoire. Le juge unique : La greffière : Du Le présent arrêt, dont la rédaction a été approuvée à huis clos, est notifié en expédition complète à : - Me Kim Lloyd Sciboz (pour X.________) - Me Hélène Busché (pour Z.________),</w:t>
      </w:r>
    </w:p>
    <w:p>
      <w:r>
        <w:t>- 21 -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