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JS23.044319 vom 22. Dezember 2023</w:t>
      </w:r>
    </w:p>
    <w:p>
      <w:r>
        <w:t>VD Tribunal cantonal, 2023-12-22, FR</w:t>
      </w:r>
    </w:p>
    <w:p>
      <w:r>
        <w:rPr>
          <w:b/>
        </w:rPr>
        <w:t xml:space="preserve">Quelle: </w:t>
      </w:r>
      <w:r>
        <w:t>https://mcp.opencaselaw.ch/entscheid/vd_gerichte_JS23.044319</w:t>
      </w:r>
    </w:p>
    <w:p>
      <w:r>
        <w:t>FR: VD_GERICHTE JS23.044319 du 22 décembre 2023</w:t>
      </w:r>
    </w:p>
    <w:p>
      <w:r>
        <w:t>IT: VD_GERICHTE JS23.044319 del 22 dicembre 2023</w:t>
      </w:r>
    </w:p>
    <w:p>
      <w:pPr>
        <w:pStyle w:val="Heading2"/>
      </w:pPr>
      <w:r>
        <w:t>Erwägungen</w:t>
      </w:r>
    </w:p>
    <w:p>
      <w:r>
        <w:rPr>
          <w:b/>
        </w:rPr>
        <w:t>E. 1</w:t>
      </w:r>
    </w:p>
    <w:p>
      <w:r>
        <w:t>Le 17 octobre 2023, A.D.________ a déposé une requête de mesures superprovisionnelles et protectrices de l’union conjugale dirigée contre B.D.________. Par ordonnance de mesures superprovisionnelles du 18 octobre 2023, la Présidente du Tribunal civil de l’arrondissement de l’Est vaudois (ci-après : la présidente) a notamment autorisé les époux à vivre séparés et a attribué la jouissance du logement conjugal, sis C.________, à A.D.________. Par requête de mesures superprovisionnelles et protectrices de l’union conjugale du 21 novembre 2023, A.D.________ a conclu en substance à ce qu’ordre soit donné à B.D.________ de quitter ledit logement. La présidente a fait droit à sa requête par prononcé de mesures superprovisionnelles du même jour. Le 25 novembre 2023, elle a déposé une requête d’exécution forcée, B.D.________ n’ayant pas quitté le logement.</w:t>
      </w:r>
    </w:p>
    <w:p>
      <w:r>
        <w:rPr>
          <w:b/>
        </w:rPr>
        <w:t>E. 2</w:t>
      </w:r>
    </w:p>
    <w:p>
      <w:r>
        <w:t>Par ordonnance de mesures superprovisionnelles du 6 décembre 2023, la présidente a, en particulier, attribué la jouissance du logement conjugal à B.D.________ et a ordonné à A.D.________ de quitter la villa conjugale dans un délai au 6 janvier 2024.</w:t>
      </w:r>
    </w:p>
    <w:p>
      <w:r>
        <w:rPr>
          <w:b/>
        </w:rPr>
        <w:t>E. 3</w:t>
      </w:r>
    </w:p>
    <w:p>
      <w:r>
        <w:t>Par acte du 18 décembre 2023, A.D.________ (ci-après : la recourante) a recouru contre cette décision, en concluant, avec suite de frais et dépens, à son annulation. Elle a également requis l’octroi de l’effet suspensif à son recours.</w:t>
      </w:r>
    </w:p>
    <w:p>
      <w:r>
        <w:rPr>
          <w:b/>
        </w:rPr>
        <w:t>E. 4.1</w:t>
      </w:r>
    </w:p>
    <w:p>
      <w:r>
        <w:t>Le Code de procédure civile (ci-après : CPC ; RS 272) ne prévoit aucune voie de droit contre les jugements cantonaux de première</w:t>
      </w:r>
    </w:p>
    <w:p>
      <w:r>
        <w:t>- 3 - instance portant sur des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 ATF 137 III 417 consid. 1.2 ; TF 5A_473/2010 du 23 juillet 2010 consid. 1.1 ; TF 4A_335/2007 du 13 septembre 2007 consid. 3 et réf. cit.).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Le Tribunal fédéral a définitivement fixé ce principe pour les recours déférés devant lui et il le pose sous forme d’obiter dictum pour les instances cantonales. Cependant, une voie de droit doit être ouverte tant au niveau cantonal que fédéral lorsque le droit affirmé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Bohnet in Commentaire romand du Code de procédure civile, 2e éd., 2019, nn. 15 et 16 ad art. 265 CPC ; Dobrzynski et Tseytlina, Le point sur le recours ex parte contre le refus de mesures superprovisionnelles, in</w:t>
      </w:r>
    </w:p>
    <w:p>
      <w:r>
        <w:t>- 4 - Vorsorgliche Massnahmen – Fallstricke in der Praxis, S. [117], Dike Verlag AG, August 2023 [Herausgeber: Catelli/Sunaric], p. 121).</w:t>
      </w:r>
    </w:p>
    <w:p>
      <w:r>
        <w:rPr>
          <w:b/>
        </w:rPr>
        <w:t>E. 4.2</w:t>
      </w:r>
    </w:p>
    <w:p>
      <w:r>
        <w:t>En l’espèce, le recours est dirigé contre une ordonnance de mesures superprovisionnelles. La recourante n’expose pas qu’elle risquerait de perdre son droit ou que la procédure deviendrait sans objet. En conséquence, conformément à ce qui précède, le recours est irrecevable.</w:t>
      </w:r>
    </w:p>
    <w:p>
      <w:r>
        <w:rPr>
          <w:b/>
        </w:rPr>
        <w:t>E. 5.1</w:t>
      </w:r>
    </w:p>
    <w:p>
      <w:r>
        <w:t>En définitive, le recours doit être déclaré irrecevable, selon le mode procédural de l’art. 322 al. 1 in fine CPC. Ce qui précède rend sans objet la requête d’effet suspensif contenue dans le recours.</w:t>
      </w:r>
    </w:p>
    <w:p>
      <w:r>
        <w:rPr>
          <w:b/>
        </w:rPr>
        <w:t>E. 5.2</w:t>
      </w:r>
    </w:p>
    <w:p>
      <w:r>
        <w:t>Les frais judiciaires de deuxième instance, arrêtés à 300 fr. (100 fr. pour l’émolument de décision [art. 69 al. 3 et 70 al. 3 TFJC (tarif du 28 septembre 2010 des frais judiciaires civils ; BLV 270.11.5)] et 200 fr. pour l’émolument de décision relatif à l’effet suspensif [art. 6 al. 3 et 78 al. 1 TFJC]), sont mis à la charge de la recourante, qui succombe (art. 106 al. 1 CPC). Il ne sera pas alloué de dépens de deuxième instance, dès lors que l’intimé n’a pas été invité à se déterminer. Par ces motifs, la Chambre des recours civile du Tribunal cantonal, en application de l'art. 322 al. 1 CPC, prononce : I. Le recours est irrecevable. II. La requête d’effet suspensif est sans objet.</w:t>
      </w:r>
    </w:p>
    <w:p>
      <w:r>
        <w:t>- 5 - III. Les frais judiciaires de deuxième instance, arrêtés à 300 fr. (trois cents francs), sont mis à la charge de la recourante A.D.________. IV. L’arrêt est exécutoire. La présidente : Le greffier : Du L'arrêt qui précède, dont la rédaction a été approuvée à huis clos, est notifié à : - Me Laurent Savoy (pour A.D.________), - Me Romain Kramer (pour B.D.________), - M. Olivier Rouge (curateur de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