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JS23.044144 vom 2. Oktober 2025</w:t>
      </w:r>
    </w:p>
    <w:p>
      <w:r>
        <w:t>VD Tribunal cantonal, 2025-10-02, FR</w:t>
      </w:r>
    </w:p>
    <w:p>
      <w:r>
        <w:rPr>
          <w:b/>
        </w:rPr>
        <w:t xml:space="preserve">Quelle: </w:t>
      </w:r>
      <w:r>
        <w:t>https://mcp.opencaselaw.ch/entscheid/vd_gerichte_JS23.044144</w:t>
      </w:r>
    </w:p>
    <w:p>
      <w:r>
        <w:t>FR: VD_GERICHTE JS23.044144 du 2 octobre 2025</w:t>
      </w:r>
    </w:p>
    <w:p>
      <w:r>
        <w:t>IT: VD_GERICHTE JS23.044144 del 2 ottobre 2025</w:t>
      </w:r>
    </w:p>
    <w:p>
      <w:pPr>
        <w:pStyle w:val="Heading2"/>
      </w:pPr>
      <w:r>
        <w:t>Erwägungen</w:t>
      </w:r>
    </w:p>
    <w:p>
      <w:r>
        <w:rPr>
          <w:b/>
        </w:rPr>
        <w:t>E. 2.1</w:t>
      </w:r>
    </w:p>
    <w:p>
      <w:r>
        <w:t>Par ordonnance de mesures protectrices de l’union conjugale du 26 août 2025, la présidente a notamment attribué la garde de fait sur les enfants à B.L.________, auprès de laquelle ils sont domiciliés (I), a dit que le droit de visite d'A.L.________ sur les enfants s'exercerait un week- end sur deux du vendredi à 18h00 au dimanche à 18h00 et durant la moitié des vacances scolaires, alternativement à Noël et Nouvel An, à</w:t>
      </w:r>
    </w:p>
    <w:p>
      <w:r>
        <w:t>- 6 - Pâques et Pentecôte, à l'Ascension et au Jeûne fédéral, le passage des enfants se faisant par l'intermédiaire de la structure d'accueil des enfants, respectivement de M.M.________ et B.M.________ – soit les « grands-parents de cœur » des enfants –, à charge pour A.L.________ d'aller chercher les enfants auprès de l'un ou l'autre de ces tiers et de les y ramener (II), a arrêté l’entretien convenable des enfants (VI et VIII) ainsi que les contributions d’entretien pour ceux-ci mises à la charge d’A.L.________ (VII et IX) et a déclaré l’ordonnance immédiatement exécutoire (XVIII).</w:t>
      </w:r>
    </w:p>
    <w:p>
      <w:r>
        <w:rPr>
          <w:b/>
        </w:rPr>
        <w:t>E. 2.2</w:t>
      </w:r>
    </w:p>
    <w:p>
      <w:r>
        <w:t>Par acte du 26 septembre 2025, A.L.________ (ci-après : le requérant) a fait appel de cette ordonnance, en concluant, avec suite de frais et dépens, à la réforme des chiffres II, VI à IX et XVIII du dispositif de l’ordonnance, notamment en ce sens que le droit de visite du père sur les enfants soit élargi. En sus, il a requis que l’exécution du chiffre II du dispositif soit suspendue. Par déterminations du 30 septembre 2025, B.L.________ (ci- après : l’intimée) a conclu, avec suite de frais et dépens, au rejet de la requête d’effet suspensif. Le 1er octobre 2025, le requérant s’est déterminé sur l’écriture de l’intimée et a confirmé sa conclusion tendant à la restitution de l’effet suspensif sur le chiffre II de l’ordonnance attaquée.</w:t>
      </w:r>
    </w:p>
    <w:p>
      <w:r>
        <w:rPr>
          <w:b/>
        </w:rPr>
        <w:t>E. 2.3</w:t>
      </w:r>
    </w:p>
    <w:p>
      <w:r>
        <w:t>Une actualisation du rapport de l’UEMS a été requise par courrier du 30 septembre 2025 – rectifié le 2 octobre 2025 –, dont les parties ont reçu copie.</w:t>
      </w:r>
    </w:p>
    <w:p>
      <w:r>
        <w:rPr>
          <w:b/>
        </w:rPr>
        <w:t>E. 3.1</w:t>
      </w:r>
    </w:p>
    <w:p>
      <w:r>
        <w:t>Selon l’art. 315 al. 2 let. b CPC (Code de procédure civile du 19 décembre 2008 ; RS 272), l’appel n’a pas d’effet suspensif lorsqu’il a pour objet des décisions portant sur des mesures provisionnelles. L’exécution des mesures provisionnelles peut, sur demande, exceptionnellement être suspendue si la partie concernée risque de subir</w:t>
      </w:r>
    </w:p>
    <w:p>
      <w:r>
        <w:t>- 7 - un préjudice difficilement réparable, conformément à l’art. 315 al. 4 let. b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Saisie d’une requête d’effet suspensif, l’autorité d’appel doit faire preuve de retenue et ne modifier la décision de première instance que dans des cas exceptionnels ; elle dispose cependant d’un large pouvoir d’appréciation permettant de tenir compte des circonstances concrètes du cas d’espèce (ATF 138 III 378 consid. 6.3 et les réf. citées, in JdT 2015 II 408 ; TF 5A_223/2022 du 29 août 2022 consid. 3.1.1).</w:t>
      </w:r>
    </w:p>
    <w:p>
      <w:r>
        <w:rPr>
          <w:b/>
        </w:rPr>
        <w:t>E. 3.2</w:t>
      </w:r>
    </w:p>
    <w:p>
      <w:r>
        <w:t>En matière de garde, des changements trop fréquents peuvent être préjudiciables à l’intérêt de l’enfant. Lorsque la décision de mesures provisionnelles statue sur la garde ou modifie celle-ci de sorte que l’enfant devrait être séparé du parent qui prenait régulièrement soin de lui au moment de l’ouverture de la procédure ayant donné lieu à la décision attaquée, le bien de l’enfant commande alors, dans la règle, de maintenir les choses en l’état et de laisser celui-ci auprès de la personne qui lui sert actuellement de référence (ATF 144 III 469 consid. 4.2.1, in JdT 2019 II 155, SJ 2019 I 236, FamPra.ch 2019 261 ; ATF 138 III 565 consid. 4.3.2 ; TF 5A_223/2022 précité consid. 3.1.1). La requête d'effet suspensif du parent qui entend conserver la garde doit ainsi être admise dans de telles circonstances, sauf si le maintien de la situation antérieure met en péril le bien de l'enfant ou encore si l'appel paraît sur ce point d'emblée irrecevable ou manifestement infondé (ATF 144 III 469 consid. 4.2.1 ; ATF 138 III 565 consid. 4.3.2 ; TF 5A_223/2022 précité consid. 3.1.2 ; TF 5A_792/2018 du 6 février 2019 consid. 3.2.2 et les références). Le refus d'effet suspensif ne peut être fondé sur le fait que la décision n'apparaît</w:t>
      </w:r>
    </w:p>
    <w:p>
      <w:r>
        <w:t>- 8 - pas insoutenable (ATF 138 III 565 consid. 4.3.2 ; TF 5A_223/2022 précité consid. 3.1.1 ; TF 5A_941/2018 du 23 janvier 2019 consid. 5.3.2). Les mêmes principes s'appliquent s'agissant de l'exercice du droit aux relations personnelles (TF 5A_792/2018 du 6 février 2019 consid.</w:t>
      </w:r>
    </w:p>
    <w:p>
      <w:r>
        <w:rPr>
          <w:b/>
        </w:rPr>
        <w:t>E. 3.2.2</w:t>
      </w:r>
    </w:p>
    <w:p>
      <w:r>
        <w:t>in fine).</w:t>
      </w:r>
    </w:p>
    <w:p>
      <w:r>
        <w:rPr>
          <w:b/>
        </w:rPr>
        <w:t>E. 4.1</w:t>
      </w:r>
    </w:p>
    <w:p>
      <w:r>
        <w:t>En l’occurrence, il est relevé à titre liminaire que, contrairement à ce que semble avoir compris l’intimée, le requérant a requis l’effet suspensif uniquement sur la question du droit aux relations personnelles (soit le chiffre II du dispositif de l’ordonnance attaquée). Il n’a en revanche pas conclu à l’octroi de l’effet suspensif en lien avec les contributions d’entretien devant être versées en faveur des enfants, tel que l’argue l’intimée. Cette dernière question ne sera dès lors pas examinée.</w:t>
      </w:r>
    </w:p>
    <w:p>
      <w:r>
        <w:rPr>
          <w:b/>
        </w:rPr>
        <w:t>E. 4.2</w:t>
      </w:r>
    </w:p>
    <w:p>
      <w:r>
        <w:t>Le requérant fait valoir que la première juge a significativement réduit le droit aux relations personnelles du père avec les enfants – transformant une garde quasiment partagée en un droit de visite usuel – et que, sans l’octroi de l’effet suspensif, les enfants seraient exposés à d’inutiles changements de prise en charge, ce qui serait contraire à leurs intérêts. Il invoque en particulier les conclusions du</w:t>
      </w:r>
    </w:p>
    <w:p>
      <w:r>
        <w:rPr>
          <w:b/>
        </w:rPr>
        <w:t>E. 4.3</w:t>
      </w:r>
    </w:p>
    <w:p>
      <w:r>
        <w:t>Dans l’ordonnance entreprise, la présidente a exposé qu’initialement, dans l'attente de l'évaluation de l'UEMS, les parties étaient convenues de confier la garde de fait des enfants à la mère, le père bénéficiant d'un droit de visite élargi, s'approchant d'une garde</w:t>
      </w:r>
    </w:p>
    <w:p>
      <w:r>
        <w:t>- 9 - alternée, à savoir un week-end sur deux, et du mardi à 17h00 au mercredi à 17h00 ainsi que du jeudi à 17h00 au vendredi à 17h00 durant la semaine où ils n’étaient pas chez leur père le week-end, et la moitié des vacances. Selon la première juge – qui s’est notamment fondée sur le rapport d’évaluation du 8 juillet 2024 de l’UEMS, le jugement du 14 mars 2025 rendu par le tribunal de police et le rapport du 2 avril 2025 de la C.________ –, les modalités initiales du droit de visite ne pouvaient pas être maintenues et il était dans l’intérêt des enfants de limiter la fréquence des visites, afin de sauvegarder leur stabilité et de les préserver du conflit parental. A cet égard, la première juge a en particulier souligné que le tableau dressé par les professionnels et les proches qui entouraient la famille était inquiétant, qu’on observait une dégradation dans l'état psychique des enfants entre le rapport de l’UEMS et celui de la C.________ et que le régime initialement mis en place (qui nécessitait plusieurs échanges par semaine) ne fonctionnait manifestement pas, alimentait le conflit entre les parents (ceci bien que la passation des enfants se fasse par l'intermédiaire de tiers) et était une source d'angoisses pour les enfants. En outre, le père ne semblait pas être conscient des enjeux entourant le conflit parental, minimisait la souffrance des enfants – malgré les remarques des thérapeutes – et éprouvait une difficulté à considérer leurs besoins sur les plans psychique et émotionnel. De même, le jugement pénal relevait l'absence de remise en question du père, qui niait les faits et refusait d'entreprendre un suivi.</w:t>
      </w:r>
    </w:p>
    <w:p>
      <w:r>
        <w:rPr>
          <w:b/>
        </w:rPr>
        <w:t>E. 4.4</w:t>
      </w:r>
    </w:p>
    <w:p>
      <w:r>
        <w:t>On constate en effet qu’ensuite de la conclusion de la convention du 8 novembre 2023 par laquelle un large droit de visite avait été réservé au père, celui-ci s’est vu interdire d’approcher l’intimée et les enfants à moins de 40 m, par ordonnance de mesures superprovisionnelles du 1er mars 2024, confirmée par ordonnance d’ordonnance de mesures protectrices de l'union conjugale du 8 avril 2024. Une telle mesure, que le requérant n’a pas contestée, démontre déjà les tensions qui existent entre les parents et le besoin de protection de la mère et des enfants.</w:t>
      </w:r>
    </w:p>
    <w:p>
      <w:r>
        <w:t>- 10 - Certes, l’UEMS avait en substance préconisé, dans son rapport du 8 juillet 2024, le maintien du droit de visite du père. Cela étant, il ressort de l’ordonnance litigieuse que l'UEMS avait toutefois également relevé – à une date non précisée dans ladite ordonnance – que, « sur la base des constats des derniers mois », de nouvelles inquiétudes quant à la situation nécessiteraient de « revoir le droit [du requérant] à la baisse pour garantir la sécurité affective et psychologique des jumeaux » (cf. p. 14). Plus important encore, depuis la reddition du rapport du 8 juillet 2024, les enfants ont été suivis auprès de la C.________, qui les a rencontrés avec chacun de leur parent et seul. Or, il ressort du rapport du 2 avril 2025 de cette institut que les thérapeutes ayant rencontrés les précités ont fait part de leurs inquiétudes concernant l’état psychique et émotionnel des deux enfants. Les thérapeutes ont aussi fait part des dires d’A.________ selon lesquels il n’appréciait pas que son père parle mal de ses grands- parents de cœurs, qui assurent pourtant les transitions lors de l’exercice du droit de visite, et dise qu’ils s’occupent mal des enfants. O.________ quant à elle a acquiescé d’un hochement de tête lorsque les thérapeutes lui ont reformulé les propos de sa mère selon lesquels le père criait et avait tenu l’enfant par la mâchoire. Les thérapeutes ont également relevé que le père ne se remettait pas en question, niait toutes violences – pour lesquelles il a pourtant été condamné s’agissant de l’intimée – et mettait ses besoins avant ceux des enfants, ne semblant pas être conscient de leur mal-être, ni ne se remettant aucunement en question. Dans ce cadre, force est en effet de constater que, malgré ses dénis, le requérant a été condamné pour lésions corporelles simples qualifiées, voies de fait qualifiées et menaces qualifiées par jugement du 14 mars 2025 du tribunal de police, ceci dans le cadre de violences perpétrées à l’encontre de la mère des enfants. Il ressort par ailleurs du jugement précité que les enfants ont assisté – à tout le moins à une reprise – aux actes de violence commis à l’encontre de l’intimée durant la vie commune. Finalement, dans ses déterminations du 30 septembre 2025, l’intimée a indiqué que depuis la rentrée scolaire, qui avait eu lieu le 1er septembre 2025, les parties avaient appliqué immédiatement</w:t>
      </w:r>
    </w:p>
    <w:p>
      <w:r>
        <w:t>- 11 - l’ordonnance litigieuse, de sorte que les enfants n’allaient plus chez leur père qu’un week-end sur deux. Ces déterminations ont été transmises au père qui n’a pas contredit cette affirmation, indiquant tout au plus que les modalités de garde appliquées jusqu’à la reddition de l’ordonnance attaquée avaient prévalu durant plus de deux ans, que les enfants étaient donc largement habitués à ce système et que le fait qu’ils aient moins fréquemment vu leur père pendant le mois qui avait suivi les vacances estivales ne suffisait pas à considérer que le changement serait intégré et stabilisé dans leur esprit.</w:t>
      </w:r>
    </w:p>
    <w:p>
      <w:r>
        <w:rPr>
          <w:b/>
        </w:rPr>
        <w:t>E. 4.5</w:t>
      </w:r>
    </w:p>
    <w:p>
      <w:r>
        <w:t>Dans ces conditions et à ce stade, au vu du récent état préoccupant des enfants dont le père apparait ne pas tenir compte, des tensions semblant exister entre le père et les personnes censées assurer le passage des enfants, des actes de violence du père, de la violence et des critiques dont le père semble être l’auteur et du fait que depuis la rentrée les parties semblent a priori s’être accordées pour que les enfants soient chez leur père un week-end sur deux seulement, l’intérêt des enfants n’apparait a priori pas être celui d’avoir plus de passages, synonyme de plus de tensions, ni de plus de temps avec leur père. Par conséquent, il ne se justifie pas d’accorder la mesure exceptionnelle qu’est l’effet suspensif à l’appel, afin que le temps passé par le père avec ses enfants soit réaugmenté pendant la procédure de deuxième instance. 5. En définitive, la requête d’effet suspensif doit être rejetée. Il sera statué sur les frais judiciaires et les dépens dans le cadre de l’arrêt sur appel à intervenir (cf. art. 104 al. 3 CPC).</w:t>
      </w:r>
    </w:p>
    <w:p>
      <w:r>
        <w:t>- 12 - Par ces motifs, la Juge unique de la Cour d’appel civile, prononce : I. La requête d’effet suspensif est rejetée. II. Il sera statué sur les frais judiciaires et les dépens de la présente ordonnance dans le cadre de l’arrêt sur appel à intervenir. La juge unique : La greffière : Du La présente ordonnance, dont la rédaction a été approuvée à huis clos, est notifiée à : - Me Franck Amman (pour M. A.L.________), - Me Malika Belet (pour Mme B.L.________), et communiquée, par l'envoi de photocopies, à : - Mme la Présidente du Tribunal civil de l’arrondissement de l’Est vaudois.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w:t>
      </w:r>
    </w:p>
    <w:p>
      <w:r>
        <w:t>- 13 -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8</w:t>
      </w:r>
    </w:p>
    <w:p>
      <w:r>
        <w:t>juillet 2024 de l’UEMS, notamment le fait que le besoin de stabilité des enfants aurait été souligné et qu’il aurait été recommandé de ne pas modifier les modalités de garde auxquelles ils étaient habitués. Le requérant ajoute finalement que la poursuite du système de garde – existant depuis plus de deux ans – ne serait pas de nature à mettre en péril le bien-être des enfants.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