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JS23.041014 vom 22. Dezember 2023</w:t>
      </w:r>
    </w:p>
    <w:p>
      <w:r>
        <w:t>VD Tribunal cantonal, 2023-12-22, FR</w:t>
      </w:r>
    </w:p>
    <w:p>
      <w:r>
        <w:rPr>
          <w:b/>
        </w:rPr>
        <w:t xml:space="preserve">Quelle: </w:t>
      </w:r>
      <w:r>
        <w:t>https://mcp.opencaselaw.ch/entscheid/vd_gerichte_JS23.041014</w:t>
      </w:r>
    </w:p>
    <w:p>
      <w:r>
        <w:t>FR: VD_GERICHTE JS23.041014 du 22 décembre 2023</w:t>
      </w:r>
    </w:p>
    <w:p>
      <w:r>
        <w:t>IT: VD_GERICHTE JS23.041014 del 22 dicembre 2023</w:t>
      </w:r>
    </w:p>
    <w:p>
      <w:pPr>
        <w:pStyle w:val="Heading2"/>
      </w:pPr>
      <w:r>
        <w:t>Erwägungen</w:t>
      </w:r>
    </w:p>
    <w:p>
      <w:r>
        <w:rPr>
          <w:b/>
        </w:rPr>
        <w:t>E. 6</w:t>
      </w:r>
    </w:p>
    <w:p>
      <w:r>
        <w:t>Au vu de ce qui précède, le recours doit être déclaré irrecevable selon le mode procédural de l’art. 322 al. 1 CPC.</w:t>
      </w:r>
    </w:p>
    <w:p>
      <w:r>
        <w:t>- 7 - Le présent arrêt peut être rendu sans frais judiciaires de deuxième instance (cf. art. 11 TFJC [tarif des frais judiciaires civils du 28 septembre 2010 ; BLV 270.11.5]). L’avance de frais versée par la recourante par 100 fr. lui sera ainsi restituée.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V.________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