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JS23.036787 vom 2. Juli 2024</w:t>
      </w:r>
    </w:p>
    <w:p>
      <w:r>
        <w:t>VD Tribunal cantonal, 2024-07-02, FR</w:t>
      </w:r>
    </w:p>
    <w:p>
      <w:r>
        <w:rPr>
          <w:b/>
        </w:rPr>
        <w:t xml:space="preserve">Quelle: </w:t>
      </w:r>
      <w:r>
        <w:t>https://mcp.opencaselaw.ch/entscheid/vd_gerichte_JS23.036787</w:t>
      </w:r>
    </w:p>
    <w:p>
      <w:r>
        <w:t>FR: VD_GERICHTE JS23.036787 du 2 juillet 2024</w:t>
      </w:r>
    </w:p>
    <w:p>
      <w:r>
        <w:t>IT: VD_GERICHTE JS23.036787 del 2 luglio 2024</w:t>
      </w:r>
    </w:p>
    <w:p>
      <w:pPr>
        <w:pStyle w:val="Heading2"/>
      </w:pPr>
      <w:r>
        <w:t>Erwägungen</w:t>
      </w:r>
    </w:p>
    <w:p>
      <w:r>
        <w:rPr>
          <w:b/>
        </w:rPr>
        <w:t>E. 3</w:t>
      </w:r>
    </w:p>
    <w:p>
      <w:r>
        <w:t>a) Par requête de mesures protectrices de l’union conjugale du 1er novembre 2023, l’appelante a conclu, avec suite de frais et dépens, à ce que l’intimé et elle-même soient autorisés à vivre séparés pour une durée indéterminée dès le 29 juillet 2023 (I), à ce que la jouissance du logement conjugal lui soit attribuée, à charge pour elle d’en assumer le loyer et les charges (II), à ce que la jouissance du garage sis [...], à [...]</w:t>
      </w:r>
    </w:p>
    <w:p>
      <w:r>
        <w:t>- 6 - soit attribuée exclusivement à l’intimé, à charge pour lui d’en assumer le loyer (III), à ce qu’aucune contribution d’entretien ne soit due en l’état entre les époux (IV), à ce qu’interdiction soit faite à l’intimé, sous la menace de la peine d’amende prévue à l’art. 292 CP, de s’approcher du domicile conjugal sis [...] à [...], d’elle-même ou de son lieu de travail à moins de cent mètres (V) et à ce qu’ordre soit donné à l’intimé, sous la menace de la peine d’amende prévue à l’art. 292 CP, d’annoncer son changement d’adresse auprès de la commune d’[...] d’ici au 15 novembre 2023 (VI). b) Lors de l’audience de mesures protectrices de l’union conjugale du 2 novembre 2023, la requête de mesures protectrices de l’union conjugale de l’appelante a été notifiée en mains propres à l’intimé. Après avoir été entendus sur les faits de la cause, le conseil de l’appelante – laquelle avait été dispensée de comparution personnelle à sa demande – et l’intimé ont signé une convention, ratifiée séance tenante pour valoir ordonnance partielle de mesures protectrices de l’union conjugale, ainsi libellée : « I. Les époux B.________ et I.________ conviennent de vivre séparés pour une durée indéterminée, étant précisé que la séparation remonte au 29 juillet 2023. II. Les parties conviennent qu’I.________ ne réintégrera pas le logement commun. III. Les parties conviennent de résilier dans les délais légaux, au plus vite, le bail portant sur le garage sis à [...]. Elles le videront d’ici la remise du local. IV. I.________ s’engage à ne pas approcher le logement de B.________ à moins de cent mètres, ainsi que de ne pas s’approcher de son épouse et de son lieu de travail, actuellement le [...] de [...], à moins de cinquante mètres. V. Les parties s’engagent à ne pas procéder à de quelconques retraits sur le compte commun auprès du [...] de [...], tant que le sort du solde du compte n’est pas réglé ». Ensuite de la signature de la convention, l’intimé a conclu à ce que l’appelante soit astreinte à lui verser une contribution d’entretien de 800 fr. par mois dès le 1er août 2023. Il s’est engagé à tout mettre en œuvre pour retrouver un emploi et à tenir l’appelante informée de toute amélioration de sa situation. Le conseil de l’appelante a conclu, pour sa cliente, au rejet de la conclusion prise par l’intimé.</w:t>
      </w:r>
    </w:p>
    <w:p>
      <w:r>
        <w:t>- 7 -</w:t>
      </w:r>
    </w:p>
    <w:p>
      <w:r>
        <w:rPr>
          <w:b/>
        </w:rPr>
        <w:t>E. 4</w:t>
      </w:r>
    </w:p>
    <w:p>
      <w:r>
        <w:t>a) Entendu lors de l’audience du 2 novembre 2023, l’intimé a exposé être titulaire d’un diplôme de chimie obtenu en [...] après un an et demi d’études et avoir exercé un an dans ce domaine autour de 1987 ou 1988. Il a déclaré avoir ensuite exercé le métier de peintre décorateur indépendant mais avoir cessé son activité à la suite de difficultés économiques et de problèmes de concurrence avant son arrivée en Suisse intervenue six ans et demi plus tôt. Il a expliqué que, depuis son arrivée en Suisse, il avait travaillé pour le compte d’[...] durant une année et demie, puis qu’il avait traversé une période de chômage avant d’œuvrer pendant trois mois pour le compte de [...], en 2019. Depuis lors, il n’avait pas retrouvé d’emploi. Il a affirmé qu’il recherchait un travail à plein temps dans le domaine de la peinture, étant précisé qu’il était âgé de 56 ans et se considérait « en pleine forme ». Il a précisé ne pas avoir de formation spécifique dans le domaine de la peinture mais avoir été titulaire de sa propre société de peinture avec un certain nombre d’employés. Il a déclaré rechercher activement un emploi, ayant notamment démarché « toutes les boîtes d’intérim de [...] ». Il a indiqué ne pas avoir le droit au chômage et n’avoir aucune source de revenu. Il a ajouté que sa sœur le soutenait financièrement et l’hébergeait gratuitement. Dans un témoignage écrit du 15 décembre 2023 produit par l’appelante à l’appui de son appel et dont la prise en compte n’a pas été contestée par l’intimé, T.________ a notamment déclaré que son père prétendait partir chercher du travail chaque matin en quittant la maison aux alentours de 8 h 00 mais qu’il revenait alcoolisé entre 11 h 00 et 12 h 00. Elle a expliqué lui avoir trouvé un poste en qualité de chauffeur au sein d’[...], entreprise auprès de laquelle elle exerçait comme technico- commerciale. Selon T.________, l’intimé s’était alors rendu à un entretien le 28 juillet 2023 et avait été engagé avec effet au 31 juillet 2023. Il ne s’était toutefois jamais présenté et n’avait pas averti l’employeur. Les charges mensuelles de l’intimé – non contestées en appel – sont les suivantes :</w:t>
      </w:r>
    </w:p>
    <w:p>
      <w:r>
        <w:t>- 8 - - montant de base 1'200 fr. 00 - frais de logement 0 fr. 00 - assurance maladie de base, partiellement subsidiée 5 fr. 90 - frais de recherches d’emploi 150 fr. 00 (forfait) Minimum vital du droit des 1'355 fr. 90 poursuites b) L’appelante travaille auprès de [...] à [...]. D’avril à août 2023, elle a perçu un salaire mensuel net, hors part au treizième salaire, de l’ordre de 3'420 fr. par mois, impôt à la source déduit. En octobre 2023, son salaire brut se montait à 3'936 fr., et son salaire net à 2'877 fr. 65, après déduction des charges sociales par 508 fr. 20 et de l’impôt à la source par 550 fr. 15. Ce dernier montant – augmenté en raison de la séparation des parties – comprend l’impôt à la source d’août et septembre 2023 par 362 fr. et d’octobre 2023 par 188 fr. 15. Les charges mensuelles de l’appelante – non contestées en appel à l’exception du montant retenu à titre de ses frais de logement – sont les suivantes : - montant de base 1'200 fr. 00 - frais de logement 930 fr. 00 - assurance maladie de base, partiellement subsidiée 118 fr. 60 - frais de repas 215 fr. 75 - frais de transports 112 fr. 40 - place de parc 100 fr. 00 Minimum vital du droit des poursuites 2'676 fr. 75 c) Le contrat de bail du 19 octobre 2018 portant sur la location de l’appartement conjugal sis [...] à [...], pour un loyer mensuel brut de</w:t>
      </w:r>
    </w:p>
    <w:p>
      <w:r>
        <w:t>- 9 - 1'860 fr., a été conclu par la fille des parties, T.________, en tant que locataire. Celle-ci y vit avec l’appelante. En d roit : 1. 1.1 L’appel est recevable contre les ordonnances de mesures protectrices de l’union conjugale, lesquelles doivent être considérées comme des décisions provisionnelles (art. 308 al. 1 let. b CPC [Code de procédure civile du 19 décembre 2008 ; RS 272] ; ATF 137 III 475 consid.</w:t>
      </w:r>
    </w:p>
    <w:p>
      <w:r>
        <w:rPr>
          <w:b/>
        </w:rPr>
        <w:t>E. 4.1</w:t>
      </w:r>
    </w:p>
    <w:p>
      <w:r>
        <w:t>L’appelante fait grief au président d’avoir octroyé à l’intimé un délai de trois mois depuis la notification de l’ordonnance, soit au 31 mars 2024, pour lui imputer un revenu hypothétique.</w:t>
      </w:r>
    </w:p>
    <w:p>
      <w:r>
        <w:rPr>
          <w:b/>
        </w:rPr>
        <w:t>E. 4.2.1</w:t>
      </w:r>
    </w:p>
    <w:p>
      <w:r>
        <w:t>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(ATF 148 III 358 consid. 5, JdT 2022 II 315, FamPra.ch 2022 p. 973 ; ATF 147 III 301 consid. 6.2, JdT 2022 II 160, FamPra.ch 2021 p. 455 ; ATF 147 III 308 consid. 5.2, JdT 2022 II 143, SJ 2021 I 328, FamPra.ch 2021 p. 411). Un époux ne peut prétendre à une contribution d’entretien que si, en dépit des efforts que l’on peut raisonnablement exiger de lui, il n’est pas ou pas totalement en mesure de pourvoir lui- même à son entretien convenable (ATF 147 III 308 précité consid. 5.2 ; ATF 141 III 465 consid. 3.1, JdT 2015 II 415, FamPra.ch 2016 p. 280 ; sur le tout : TF 5A_513/2023 du 20 mars 2024 consid. 6.3.2.1 et les réf. citées).</w:t>
      </w:r>
    </w:p>
    <w:p>
      <w:r>
        <w:rPr>
          <w:b/>
        </w:rPr>
        <w:t>E. 4.2.2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SJ 2018 I 89, FamPra.ch 2017 p. 822 ; ATF 137 III 102 consid. 4.2.2.2, JdT 2012 II 246, FamPra.ch 2011 p. 438 ; TF 5A_484/2020 du 16 février 2021 consid. 5.1 ; TF 5A_433/2020 du 15 décembre 2020 consid. 4.1). Il y a en principe lieu d’accorder à la partie à qui l’on veut imputer un revenu hypothétique un délai approprié pour s’adapter à sa nouvelle situation ; ce délai doit être fixé en fonction des circonstances du cas particulier (ATF 129 III 417 consid. 2.2, JdT 2004 I 115, SJ 2004 I 32, FamPra.ch 2003 p. 876 ; ATF 114 II 13 consid. 5 ; TF 5A_192/2021 du 18 novembre 2021 consid. 7.1.1 ; TF 5A_484/2020 précité</w:t>
      </w:r>
    </w:p>
    <w:p>
      <w:r>
        <w:t>- 15 - consid. 5.1 ; TF 5A_534/2019 du 31 janvier 2020 consid. 4.1),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précité consid. 5.4 ; ATF 147 III 481 consid. 4.6 et les réf. citées, RSPC 2022 p. 67 ; ATF 129 III 417 précité consid. 2.2 ; sur le tout : TF 5A_513/2023 précité consid. 6.3.2.2). Constituent également des facteurs dans l’appréciation la durée de la séparation, de même que le fait qu’un époux sache, depuis un certain temps, qu’il devra accroître son taux d’activité pour assumer son propre entretien ou une obligation envers un tiers (TF 5A_137/2017 du 29 juin 2017 consid. 6.3 cité in Stoudmann, Le divorce en pratique, 2e éd., Lausanne 2023, p. 94).</w:t>
      </w:r>
    </w:p>
    <w:p>
      <w:r>
        <w:rPr>
          <w:b/>
        </w:rPr>
        <w:t>E. 4.2.3</w:t>
      </w:r>
    </w:p>
    <w:p>
      <w:r>
        <w:t>En pratique, les délais les plus souvent accordés se situent entre trois et six mois (TF 5A_513/2023 précité consid. 6.3.2.3 et les réf. doctrinales citées). Selon les cas, le juge peut toutefois n’accorder aucun délai d’adaptation, notamment lorsque des changements étaient prévisibles pour la partie concernée.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(TF 5A_192/2021 précité consid. 7.4.2 ; Stoudmann, op. cit., p. 92).</w:t>
      </w:r>
    </w:p>
    <w:p>
      <w:r>
        <w:rPr>
          <w:b/>
        </w:rPr>
        <w:t>E. 4.3</w:t>
      </w:r>
    </w:p>
    <w:p>
      <w:r>
        <w:t>L’appelante soutient qu’un revenu hypothétique aurait dû être imputé à l’intimé dès la date de leur séparation intervenue le 28 (recte : le 29) juillet 2023. Selon l’appelante, depuis 2019, l’intimé aurait eu de nombreuses possibilités de se réinsérer dans le monde du travail et serait seul responsable du blocage de sa situation professionnelle. Elle soutient en outre qu’au 1er novembre 2023 – dies a quo de la contribution d’entretien –, l’intimé avait déjà bénéficié d’un délai de presque trois mois pour retrouver du travail, dès lors que l’audience d’expulsion avait été</w:t>
      </w:r>
    </w:p>
    <w:p>
      <w:r>
        <w:t>- 16 - tenue le 8 août 2023. Elle relève par ailleurs que l’intimé n’aurait pas fourni la moindre preuve concernant ses prétendues recherches d’emploi. L’intimé conteste quant à lui les allégations de l’appelante. Il allègue que compte tenu de son âge, il est extrêmement difficile de trouver un travail, qui plus est dans le domaine de la peinture et sans diplôme dans cette activité, et soutient élargir la zone géographique de ses recherches d’emploi. Il argue en outre que, depuis leur arrivée en Suisse, la répartition des tâches au sein du couple ne serait pas conventionnelle dès lors que « l’appelant » (sic) travaillerait pendant qu’il s’occuperait du foyer et des tâches ménagères.</w:t>
      </w:r>
    </w:p>
    <w:p>
      <w:r>
        <w:rPr>
          <w:b/>
        </w:rPr>
        <w:t>E. 4.4</w:t>
      </w:r>
    </w:p>
    <w:p>
      <w:r>
        <w:t>Le président a considéré qu’il n’était pas admissible que l’intimé se contente de rester sans revenus, étant considéré qu’il était dans cette situation depuis 2019, était âgé de 56 ans et se considérait lui- même « en pleine forme ». Si l’intimé ne disposait pas d’une formation spécifique dans la peinture, il pouvait se targuer d’une très longue expérience et d’un savoir-faire manifeste dans ce domaine. On ne voyait pas en quoi son âge constituait un frein particulier à l’embauche, par exemple par une entreprise de peinture en bâtiment. Le premier juge a relevé que l’intéressé ne pouvait se cantonner à rechercher un emploi dans la seule région de [...] et qu’il lui revenait d’élargir ses démarches au canton de [...], voire à l’[...]. Il a relevé chercher du reste en vain des pièces attestant des supposées recherches d’emploi de l’intimé. Se basant sur le calculateur statistique de salaire Salarium 2020, le président a arrêté le salaire mensuel net de l’intimé à 4'575 francs et a jugé raisonnable et réaliste d’impartir à celui-ci, compte tenu de son âge, de son bon état de santé et de la durée de son inactivité, un délai de trois mois dès la notification de l’ordonnance, soit jusqu’au 31 mars 2024, pour lui permettre de retrouver un emploi dans le domaine de la peinture en bâtiment et de la construction en général. Constatant que l’intimé n’avait élevé sa prétention qu’à l’audience du 2 novembre 2023, le président a fixé le dies a quo de la contribution d’entretien au 1er novembre 2023, et non au 1er août 2023 comme requis par l’intimé et a astreint l’appelante à</w:t>
      </w:r>
    </w:p>
    <w:p>
      <w:r>
        <w:t>- 17 - contribuer à l’entretien de l’intimé jusqu’au 31 mars 2024 avant de la libérer de toute contribution d’entretien.</w:t>
      </w:r>
    </w:p>
    <w:p>
      <w:r>
        <w:rPr>
          <w:b/>
        </w:rPr>
        <w:t>E. 4.5</w:t>
      </w:r>
    </w:p>
    <w:p>
      <w:r>
        <w:t>En l’espèce, bien que l’intimé ait déclaré, lors de l’audience du 2 novembre 2023, rechercher activement un emploi en démarchant notamment « toutes » les agences de placement de [...], il y a lieu de constater avec l’appelante qu’il n’en a jamais fourni la moindre preuve, ni n’a démontré – ni même rendu vraisemblable – les efforts accomplis dans cette perspective, ce que le président a précisément relevé dans son ordonnance. Le témoignage écrit du 15 décembre 2023 par T.________ – bien qu’à retenir avec circonspection au vu de son lien de parenté avec les parties – tend au contraire à rendre vraisemblable que l’intimé ne saisirait pas les opportunités d’emploi qui lui seraient offertes. L’intimé n’apporte pas non plus la moindre preuve qu’il aurait, comme il l’allègue dans sa réponse sur appel, élargi la zone géographique de ses recherches d’emploi. Il est sans emploi depuis 2019, ne démontre pas en chercher et ne peut ignorer l’obligation de subvenir à ses propres besoins. Cette absence de preuve lui est donc entièrement imputable. En outre, l’intimé devait, depuis la séparation intervenue le 29 juillet 2023, partir du principe qu’une reprise de la vie commune n’était plus possible, notamment au regard des circonstances de son expulsion, et qu’il était tenu d’assumer son propre entretien, cela d’autant plus qu’il avait exercé une activité lucrative durant la majeure partie de l’union conjugale. A cet égard, le fait que, depuis leur arrivée en Suisse, l’appelante travaillait alors que l’intimé restait au foyer n’apparaît pas être dû à une répartition non conventionnelle des tâches, comme invoqué par l’intimé, mais plutôt au fait qu’il n’exerçait provisoirement pas d’activité lucrative. L’intimé ne conteste par ailleurs pas le revenu hypothétique qui lui a été imputé et, par conséquent, le fait qu’il soit en mesure d’exercer une activité lucrative. Au demeurant, le 1er novembre, date du dies a quo de la contribution d’entretien fixée par le premier juge, l’intimé avait déjà</w:t>
      </w:r>
    </w:p>
    <w:p>
      <w:r>
        <w:t>- 18 - bénéficié de presque trois mois depuis la séparation pour retrouver un emploi. Partant, aucun délai d’adaptation ne doit être accordé à l’intimé qui est en mesure d’assumer son propre entretien depuis le 1er novembre 2023. Le moyen de l’appelante s’avère fondé et l’appel doit être admis.</w:t>
      </w:r>
    </w:p>
    <w:p>
      <w:r>
        <w:rPr>
          <w:b/>
        </w:rPr>
        <w:t>E. 5</w:t>
      </w:r>
    </w:p>
    <w:p>
      <w:r>
        <w:t>Au vu de ce qui précède, il n’est pas nécessaire d’examiner les autres griefs soulevés par l’appelante.</w:t>
      </w:r>
    </w:p>
    <w:p>
      <w:r>
        <w:rPr>
          <w:b/>
        </w:rPr>
        <w:t>E. 6.1</w:t>
      </w:r>
    </w:p>
    <w:p>
      <w:r>
        <w:t>En définitive, l’appel doit être admis et le chiffre I de l’ordonnance entreprise réformé en ce sens qu’aucune contribution d’entretien n’est due par l’appelante en faveur de l’intimé. Dans cette mesure, le chiffre II de l’ordonnance n’a plus d’objet et sera supprimé d’office.</w:t>
      </w:r>
    </w:p>
    <w:p>
      <w:r>
        <w:rPr>
          <w:b/>
        </w:rPr>
        <w:t>E. 6.2.1</w:t>
      </w:r>
    </w:p>
    <w:p>
      <w:r>
        <w:t>Aux termes de l’art. 318 al. 3 CPC, si l’instance d’appel statue à nouveau, elle se prononce sur les frais – soit les frais judiciaires et les dépens (art. 95 al. 1 CPC) – de la première instance.</w:t>
      </w:r>
    </w:p>
    <w:p>
      <w:r>
        <w:rPr>
          <w:b/>
        </w:rPr>
        <w:t>E. 6.2.2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- 19 -</w:t>
      </w:r>
    </w:p>
    <w:p>
      <w:r>
        <w:rPr>
          <w:b/>
        </w:rPr>
        <w:t>E. 6.2.3</w:t>
      </w:r>
    </w:p>
    <w:p>
      <w:r>
        <w:t>Dès lors qu’aucuns frais judiciaires ne sont perçus en première instance dans les procédures de mesures protectrices de l’union conjugale (art. 37 al. 3 CDPJ [Code de droit privé judiciaires vaudois du 12 janvier 2010 ; BLV 211.02], il n’y a pas lieu de statuer à nouveau sur lesdits frais. En outre, l’ordonnance ayant été rendue sans dépens, il n’y a pas lieu de revoir leur fixation ni leur répartition, l’appelante n’ayant pris aucune conclusion en ce sens.</w:t>
      </w:r>
    </w:p>
    <w:p>
      <w:r>
        <w:rPr>
          <w:b/>
        </w:rPr>
        <w:t>E. 6.3</w:t>
      </w:r>
    </w:p>
    <w:p>
      <w:r>
        <w:t>Les frais judiciaires de deuxième instance, arrêtés à 600 fr. (art. 65 al. 2 TFJC [tarif des frais judiciaires civils du 28 septembre 2010 ; BLV 270.11.5]), seront mis à la charge de l’intimé, qui succombe (art. 106 al. 1 CPC) et provisoirement supportés par l’Etat compte tenu de l’assistance judiciaire. Eu égard au sort de l’appel, l’appelante a droit à de pleins dépens, qui peuvent être fixés à 1'750 fr. (art. 3 al. 2 et 7 TDC [tarif des dépens en matière civile du 23 novembre 2010 ; BLV 270.11.6]) et doivent être alloués directement à son conseil, Me Martine Dang. Le Tribunal fédéral a en effet considéré que la pratique relative à la LTF (loi du 17 juin 2005 sur le Tribunal fédéral ; RS 173.110) d’allouer les dépens directement à l’avocat d’office dans les cas où la partie au bénéfice de l’assistance judiciaire obtenait gain de cause s’imposait également pour l’art. 122 al. 2 CPC (TF 4A_106/2021 du 8 août 2022 consid. 3.4 et les réf. citées).</w:t>
      </w:r>
    </w:p>
    <w:p>
      <w:r>
        <w:rPr>
          <w:b/>
        </w:rPr>
        <w:t>E. 6.4.1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avocat-stagiaire (art. 2 al. 1 let. a RAJ [règlement sur l’assistance judiciaire en matière civile du 7 décembre 2010 ; BLV 211.02.3]).</w:t>
      </w:r>
    </w:p>
    <w:p>
      <w:r>
        <w:t>- 20 -</w:t>
      </w:r>
    </w:p>
    <w:p>
      <w:r>
        <w:rPr>
          <w:b/>
        </w:rPr>
        <w:t>E. 6.4.2</w:t>
      </w:r>
    </w:p>
    <w:p>
      <w:r>
        <w:t>En l’occurrence, Me Martine Dang, conseil de l’appelante, indique avoir consacré 6 heures et 30 minutes au dossier, dont 1 heure effectuée par l’avocate-stagiaire de l’étude, pour la période du 26 décembre 2023 au 12 février 2024. Les heures annoncées peuvent être admises. Il s’ensuit que l’indemnité de Me Dang doit être arrêtée à 1'209 fr. 50, arrondie à 1'210 fr., soit 1'100 fr. d’honoraires ([180 fr. x 5 heures et 30 minutes] + [110 fr. x 1 heure]), auxquels s’ajoutent les débours par 22 fr. (2 % de 1'100 fr., art. 3bis al. 1 RAJ) et la TVA à 7,7 % sur le tout pour les opérations jusqu’au 31 décembre 2023, soit 65 fr. 20, et à 8,1 % sur le tout dès le 1er janvier 2024, soit 22 fr. 30 (art. 2 al. 3 RAJ). Cette indemnité sera versée à Me Dang si les dépens de deuxième instance ne peuvent être obtenus de l’intimé (art. 122 al. 2 CPC).</w:t>
      </w:r>
    </w:p>
    <w:p>
      <w:r>
        <w:rPr>
          <w:b/>
        </w:rPr>
        <w:t>E. 6.4.3</w:t>
      </w:r>
    </w:p>
    <w:p>
      <w:r>
        <w:t>Me Véronique Fontana, conseil de l’intimé, indique pour sa part avoir consacré 3 heures et 20 minutes au dossier pour la période du 28 décembre 2023 au 5 février 2024. Les heures annoncées peuvent être admises. L’indemnité de Me Fontana doit ainsi être arrêtée à 661 fr. 30, arrondie à 662 fr., soit 600 fr. d’honoraires (180 fr. x 3 heures et 20 minutes), auxquels s’ajoutent les débours par 12 fr. (2 % de 600 fr., art. 3bis al. 1 RAJ) et la TVA à 7,7 % sur le tout pour les opérations jusqu’au 31 décembre 2023, soit 4 fr. 70, et à 8,1 % sur le tout dès le 1er janvier 2024, soit 44 fr. 60 (art. 2 al. 3 RAJ).</w:t>
      </w:r>
    </w:p>
    <w:p>
      <w:r>
        <w:rPr>
          <w:b/>
        </w:rPr>
        <w:t>E. 6.5</w:t>
      </w:r>
    </w:p>
    <w:p>
      <w:r>
        <w:t>Les bénéficiaires de l’assistance judiciaire rembourseront l’indemnité à leurs conseils d’office respectifs, et, pour ce qui concerne l’intimé, les frais judiciaires mis à sa charge, provisoirement supportés par l’Etat, dès qu’ils seront en mesure de le faire (art. 123 CPC). Il incombe à la Direction générale des affaires institutionnelles et des communes de fixer le principe et les modalités de ce remboursement (art. 39a CDPJ).</w:t>
      </w:r>
    </w:p>
    <w:p>
      <w:r>
        <w:t>- 21 - Par ces motifs, le Juge unique de la Cour d’appel civile prononce : I. L’appel est admis. II. L’ordonnance est réformée aux chiffres I et II de son dispositif comme il suit : I. Dit qu’aucune contribution d’entretien n’est due par B.________ en faveur d’I.________. II. Supprimé. L’ordonnance est maintenue pour le surplus. III. Les frais judiciaires de deuxième instance, arrêtés à 600 fr. (six cents francs), sont mis à la charge de l’intimé I.________ mais provisoirement supportés par l’Etat. IV. L’intimé I.________ versera à l’appelante B.________ la somme de 1'750 fr. (mille sept cent cinquante francs) à titre de dépens de deuxième instance. V. L’indemnité de Me Martine Dang, conseil d’office de l’appelante B.________, est arrêtée 1'210 fr. (mille deux cent dix francs), débours et TVA compris. VI. L’indemnité de Me Véronique Fontana, conseil d’office de l’intimé I.________, est arrêtée à 662 fr. (six cent soixante-deux francs), débours et TVA compris. VII. Les bénéficiaires de l’assistance judiciaire sont tenus de rembourser l’indemnité à leur conseil d’office, et, pour ce qui</w:t>
      </w:r>
    </w:p>
    <w:p>
      <w:r>
        <w:t>- 22 - concerne l’intimé I.________, les frais judiciaires, provisoirement supportés par l’Etat, dès qu’ils seront en mesure de le faire (art. 123 CPC). VIII. L’arrêt est exécutoire. Le juge unique : La greffière : Du Le présent arrêt, dont la rédaction a été approuvée à huis clos, est notifié à : - Me Martine Dang (pour B.________), - Me Véronique Fontana (pour I.________), et communiqué, par l’envoi de photocopies, à : - Monsieur le Président du Tribunal civil de l’arrondissement de La Côte.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