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JS23.024334 vom 5. September 2024</w:t>
      </w:r>
    </w:p>
    <w:p>
      <w:r>
        <w:t>VD Tribunal cantonal, 2024-09-05, FR</w:t>
      </w:r>
    </w:p>
    <w:p>
      <w:r>
        <w:rPr>
          <w:b/>
        </w:rPr>
        <w:t xml:space="preserve">Quelle: </w:t>
      </w:r>
      <w:r>
        <w:t>https://mcp.opencaselaw.ch/entscheid/vd_gerichte_JS23.024334</w:t>
      </w:r>
    </w:p>
    <w:p>
      <w:r>
        <w:t>FR: VD_GERICHTE JS23.024334 du 5 septembre 2024</w:t>
      </w:r>
    </w:p>
    <w:p>
      <w:r>
        <w:t>IT: VD_GERICHTE JS23.024334 del 5 settembre 2024</w:t>
      </w:r>
    </w:p>
    <w:p>
      <w:pPr>
        <w:pStyle w:val="Heading2"/>
      </w:pPr>
      <w:r>
        <w:t>Erwägungen</w:t>
      </w:r>
    </w:p>
    <w:p>
      <w:r>
        <w:rPr>
          <w:b/>
        </w:rPr>
        <w:t>E. 3.1.1</w:t>
      </w:r>
    </w:p>
    <w:p>
      <w:r>
        <w:t>Aux termes de l’art. 279 al. 1 LP, le créancier qui a fait opérer un séquestre sans poursuite ou action préalable doit requérir la poursuite</w:t>
      </w:r>
    </w:p>
    <w:p>
      <w:r>
        <w:t>- 7 - ou intenter action dans les dix jours à compter de la réception du procès- verbal. L'action propre à valider un séquestre, au sens de l'art. 279 LP, est une action de droit matériel qui vise à établir l'existence de la créance à l'origine du séquestre. Comparable à l'action en reconnaissance de dette de l'art. 79 LP, elle doit avoir pour objet la même créance que celle qui est à l'origine du séquestre.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(ATF 143 III 578 consid. 3.2.1 ; ATF 135 III 551 consid. 2.3 et l’arrêt cité ; TF 5A_351/2023 du 13 juillet 2023 consid. 7.2). Un tribunal, quel qu'il soit, lorsqu'il est saisi d'une action en validation de séquestre, statue uniquement sur l'existence de la créance qui fait l'objet de cette action. Il n'est pas compétent pour se prononcer sur la validité ou l'exécution du séquestre, ces questions étant du ressort exclusif des autorités de poursuite (ATF 143 III 578 précité consid. 3.2.1 ; ATF 135 III 551 consid. 2.3 et la réf. citée ; TF 4A_12/2017 du 19 septembre 2017 consid. 3.2.1).</w:t>
      </w:r>
    </w:p>
    <w:p>
      <w:r>
        <w:rPr>
          <w:b/>
        </w:rPr>
        <w:t>E. 3.1.2</w:t>
      </w:r>
    </w:p>
    <w:p>
      <w:r>
        <w:t>Selon l’art. 292 CC (Code de procédure civile du 19 décembre 2008 ; RS 272),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Selon la jurisprudence développée en rapport avec l'art. 132 al. 2 CC, qui a la même teneur que l'art. 292 al. 2 CC, le créancier qui entend se prévaloir de ces dispositions doit remplir deux conditions spécifiques, à savoir démontrer d'une part que le débiteur persiste à négliger son obligation ou met la créance en danger par son</w:t>
      </w:r>
    </w:p>
    <w:p>
      <w:r>
        <w:t>- 8 - comportement, les indices d'un tel comportement devant être rendus vraisemblables, et d'autre part qu'il dispose de moyens lui permettant de constituer les sûretés (CACI 16 août 2022/372 précité consid. 3.2.1 ; Nussbaumer-Laghzaoui, in Pichonnaz/Foëx/Fountoulakis [édit.], Commentaire romand, Code civil I, 2e éd., Bâle 2024 [ci-après : CR CC I], n. 2 ad art. 292 CC ; Pellaton, in Bohnet/Guillod [édit.], Commentaire pratique, Droit matrimonial – Fond et procédure, 2016, nn. 12 et 13 ad art. 132 CC). La menace portant sur le paiement de la contribution doit être concrète (ATF 107 II 396 consid. 4c, JdT 1983 I 66 ; TF 4A_561/2023, 4A_565/2023 du 19 mars 2024 consid. 5.2). Le juge peut ordonner tout mode de constitution de sûretés (dépôt d'espèce sur un compte de consignation, garantie bancaire, cautionnement, constitution d'un gage etc.) (Nussbaumer-Laghzaoui, CR CC I, n. 3 ad art. 292 CC). Toutefois, dans la mesure où le créancier demande la constitution de sûretés au moyen de la consignation d'une somme d'argent et qu'il entend bloquer par avance les biens du débiteur, il doit passer par la procédure de séquestre des art. 271 ss LP et ne peut exiger ledit blocage par voie de mesures provisionnelles (sous l'ancien droit : TF 5A_95/2008 consid. 3.3.2 ; sous le nouveau droit : art. 269 let. a CPC ; Huber, Kommentar zur Schweizerische Zivilprozessordnung, Sutter- Somm/Hasenböhler/Leuenberger [édit.], Zurich 2016, n. 5 ad art. 269 CPC ; Nussbaumer-Laghzaoui, CR CC I, n. 5 et 6 ad art. 292 CC). La requête en constitution de sûretés peut être considérée comme une action en validation du séquestre au sens de l'art. 279 LP (CACI 16 août 2022/372 précité consid. 3.2.1 ; Bohnet, Commentaire pratique – actions civiles – vol. I : CC et LP, 2e éd., 2019, § 28 n. 11, p. 389).</w:t>
      </w:r>
    </w:p>
    <w:p>
      <w:r>
        <w:rPr>
          <w:b/>
        </w:rPr>
        <w:t>E. 3.1.3</w:t>
      </w:r>
    </w:p>
    <w:p>
      <w:r>
        <w:t>Les conclusions doivent être interprétées selon les règles de la bonne foi (ATF 137 III 617 consid. 6.2 ; TF 5A_765/2022 du 24 avril 2023 consid. 6.1). Il suffit à cet égard que le sens dans lequel la modification de la décision attaquée est demandée résulte clairement de la motivation du</w:t>
      </w:r>
    </w:p>
    <w:p>
      <w:r>
        <w:t>- 9 - recours, cas échéant mise en relation avec la décision attaquée (ATF 137 III 617 précité consid. 4.2 ; TF 4A_462/2022 du 6 mars 2023 consid. 6.1).</w:t>
      </w:r>
    </w:p>
    <w:p>
      <w:r>
        <w:rPr>
          <w:b/>
        </w:rPr>
        <w:t>E. 3.2</w:t>
      </w:r>
    </w:p>
    <w:p>
      <w:r>
        <w:t>En l’espèce, il n’est pas constaté, ni invoqué, que le séquestre n° [...]48 J aurait été précédé d’une poursuite pour les pensions visées par ledit séquestre. Il n’est pas non plus constaté ni invoqué qu’une poursuite aurait été intentée dans les dix jours à compter de la réception du procès- verbal de séquestre. Restait donc pour valider le séquestre, vu la teneur de l’art. 279 al. 1 LP, uniquement une action en reconnaissance de dette, à intenter dans les dix jours. A ces fins, l’appelant a déposé une requête, formellement contre l’intimé, qu’il a libellée « requête en constitution de sûretés » le 26 mai 2023. La question du respect du délai de dix jours pour valider le séquestre peut rester ici ouverte. En effet, dans le cadre de cette action, l’appelant n’a pris aucune conclusion contre l’intimé, encore moins chiffrée (art. 84 al. 2 CPC). Il n’a ainsi en particulier pas conclu à ce que ce dernier soit reconnu son débiteur ou soit astreint à des sûretés, alors que la partie susceptible d’être astreinte à des sûretés en vertu de l’art. 292 CPC est clairement le père ou la mère et non le débiteur de ces derniers. L’interprétation de la requête, qualifiée expressément de requête en constitution de sûretés, ne permet pas en application de la bonne foi de considérer que l’appelant aurait pris une telle conclusion. Au vu de l’objet du litige, déterminé par les conclusions prises, on ne saurait au motif que la maxime inquisitoire illimitée s’applique condamner l’intimé à la constitution de sûretés que l’appelant ne demande pas du premier nommé. Dans ces conditions, la requête en constitution de sûretés ne constitue pas une action propre à valider le séquestre ordonné contre l’intimé. Cette requête ne pouvait donc valider le séquestre ici litigieux. Force est en conséquence de constater qu’au moment de la décision entreprise, le séquestre était caduc dès lors que l’appelant n’avait pas ouvert en temps utile une action en reconnaissance de dette, respectivement en constitution de sûretés par l’intimé ou encore requis sa</w:t>
      </w:r>
    </w:p>
    <w:p>
      <w:r>
        <w:t>- 10 - poursuite (art. 280 ch. 1 LP). Le rejet des conclusions de l’appelant ne peut donc qu’être confirmé, par substitution de motifs, ce qui conduit au rejet de l’appel. Cela rend sans objet les moyens soulevés par l’appelant à l’encontre des considérants du premier juge s’agissant de la validité du séquestre, cette question n’ayant au demeurant pas dû être examinée par ce dernier, conformément à la jurisprudence qui précède.</w:t>
      </w:r>
    </w:p>
    <w:p>
      <w:r>
        <w:rPr>
          <w:b/>
        </w:rPr>
        <w:t>E. 4</w:t>
      </w:r>
    </w:p>
    <w:p>
      <w:r>
        <w:t>Au vu de ce qui précède, l’appel doit être rejeté selon le mode procédural de l’art. 312 al. 1 in fine CPC. Les frais judiciaires de deuxième instance, arrêtés à 700 fr., sont mis à la charge de l’appelant qui succombe (art. 106 al. 1 CPC) et qui en a déjà fait l’avance. Il n’y a pas lieu d’allouer de dépens de deuxième instance, l’intimé n’ayant pas été invité à procéder.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