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JS23.018603 vom 4. Januar 2024</w:t>
      </w:r>
    </w:p>
    <w:p>
      <w:r>
        <w:t>VD Tribunal cantonal, 2024-01-04, FR</w:t>
      </w:r>
    </w:p>
    <w:p>
      <w:r>
        <w:rPr>
          <w:b/>
        </w:rPr>
        <w:t xml:space="preserve">Quelle: </w:t>
      </w:r>
      <w:r>
        <w:t>https://mcp.opencaselaw.ch/entscheid/vd_gerichte_JS23.018603</w:t>
      </w:r>
    </w:p>
    <w:p>
      <w:r>
        <w:t>FR: VD_GERICHTE JS23.018603 du 4 janvier 2024</w:t>
      </w:r>
    </w:p>
    <w:p>
      <w:r>
        <w:t>IT: VD_GERICHTE JS23.018603 del 4 gennaio 2024</w:t>
      </w:r>
    </w:p>
    <w:p>
      <w:pPr>
        <w:pStyle w:val="Heading2"/>
      </w:pPr>
      <w:r>
        <w:t>Volltext</w:t>
      </w:r>
    </w:p>
    <w:p>
      <w:r>
        <w:t>TRIBUNAL CANTONAL JS23.018603-231506 3 CO UR D’APPEL CIVI L E ____________________________ Arrêt du 4 janvier 2024 __________________ Composition : M. DE MONTVALLON, juge unique Greffier : M. Robadey ***** Art. 311 al. 1 CPC Statuant sur l’appel interjeté par R.________, à [...], contre le prononcé de mesures protectrices de l’union conjugale rendu le 26 octobre 2023 par le Président du Tribunal civil de l’arrondissement de La Côte dans la cause divisant l’appelant d’avec J.________, à Préverenges, le Juge unique de la Cour d'appel civile du Tribunal cantonal considère : 1111</w:t>
      </w:r>
    </w:p>
    <w:p>
      <w:r>
        <w:t>- 2 - En fait et e n droi t : 1. 1.1 Par prononcé de mesures protectrices de l’union conjugale du 26 octobre 2023, le Président du Tribunal civil de l’arrondissement de La Côte (ci-après : le président ou le premier juge) a autorisé les époux R.________ et J.________, née [...], à vivre séparés pour une durée indéterminée, la séparation effective datant du 4 février 2023 (I), a attribué la jouissance du domicile conjugal, sis [...], à R.________, à charge pour lui d’en payer le loyer et les charges (II), a dit que R.________ contribuerait à l’entretien de son épouse J.________, née [...], par le régulier versement, d’avance le premier de chaque mois en mains de la bénéficiaire, d’une pension de 1'820 fr. par mois, dès et y compris le 4 février 2023, la pension du mois de février 2023 étant due au prorata (III), a renvoyé la décision sur l’indemnité d’office du conseil de J.________, née [...], à une décision ultérieure (IV), a rendu la décision sans frais judiciaires ni dépens (V) et rejeté toutes autres ou plus amples conclusions (VI). 1.2 Par courrier du 4 novembre 2023, déposé le 6 novembre 2023, R.________ (ci-après : l’appelant) a indiqué ce qui suit : « Par la présente, je conteste le prononcé du 26 octobre 2023 numéro de référence JS23.018603, ayant mon papa dans l’invalidité au niveau de sa santé, chaque mois j’ai une dépense approximative de 1'300CHF pour une personne qui s’occupe de lui ainsi que les dépenses et les trajets que je dois effectuer pour aller m’occuper de lui le reste du temps. Je me vois donc dans l’incapacité de payer une telle somme à Madame [...] tant que mon papa sera vivant ». 2. 2.1 2.1.1 L’appel est recevable contre les ordonnances de mesures protectrices de l’union conjugale, lesquelles doivent être considérées comme des décisions provisionnelles au sens de l’art. 308 al. 1 let. b CPC (Code de procédure civile du 19 décembre 2008, RS 272 ; ATF 137 III 475 consid. 4.1 et les réf. cit.), dans les causes non patrimoniales ou dont la</w:t>
      </w:r>
    </w:p>
    <w:p>
      <w:r>
        <w:t>- 3 -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2.1.2 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5A_779/2021, 5A_787/2021 du 16 décembre 2022 consid. 3.1 ; TF 4A_207/2019 du 17 août 2020 consid. 3.2, non publié à l’ATF 146 III 413 ; TF 5A_164/2019 du 20 mai 2020 consid. 4.3 non publié in ATF 146 III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1er septembre 2020 consid. 4 ; TF 4A_426/2019 du 12 septembre 2019</w:t>
      </w:r>
    </w:p>
    <w:p>
      <w:r>
        <w:t>- 4 -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précité ; TF 5A_65/2022 du 16 janvier 2023 consid. 3.3.1 ; TF 5A_779/2021, 5A_787/2021 du 16 décembre 2022 consid. 4.3.1 ; TF 5A_164/2019 du 20 mai 2020 consid. 4.3 non publié in ATF 146 III 203).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4A_462/2022 du 6 mars 2023 consid. 5.1.1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9 novembre 2023/457 consid. 2.3 ; CACI 7 novembre 2022/549 consid. 2.2 ; CACI 23 août 2022/428 consid. 3).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 CACI 3 décembre 2021/570 consid. 4.2.1). Même si l’instance d’appel applique le droit d’office (art. 57 CPC), le procès se présente différemment en seconde instance, vu la décision déjà rendue. L’appelant doit donc tenter de démontrer que sa thèse l’emporte sur celle</w:t>
      </w:r>
    </w:p>
    <w:p>
      <w:r>
        <w:t>- 5 - de la décision attaquée. Il ne suffit pas que l’appelant renvoie simplement à ses arguments exposés devant le premier juge ou qu’il critique la décision attaquée de manière générale (ATF 141 III 569 précité consid. 2.3.3 ; ATF 138 III 374 précité consid. 4.3.1 ; TF 5A_779/2021 et 5A_787/2021 du 16 décembre 2022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5A_779/2021 et 5A_787/2021 précités consid. 4.3.1 ; TF 5A_357/2019 du 27 août 2021 consid. 4.1). Ainsi, notamment, lorsque la motivation de l’appel est identique aux moyens qui avaient déjà été présentés en première instance, avant la reddition de la décision attaquée (TF 4A_621/2021 du 30 août 2022 consid. 3.1 et la réf. cit. ; TF 5A_356/2020 du 9 juillet 2020 consid. 3.2),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4A_168/2022 du 10 juin 2022 consid. 5.2 ; TF 5A_779/2021 et 5A_787/2021 précités consid. 4.3.1 et les réf. cit.). Le CPC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4A_55/2021 du 2 mars 2021 consid. 4.1.2 et les réf. citées ; TF 5A_206/2016 du 1er juin 2016 consid. 4.2.2). Aussi le défaut de motivation suffisante rend-il l’appel d’emblée irrecevable, sans qu’il y ait lieu d’interpeller l’appelant (TF 5A_65/2022 du 16 janvier 2023 consid. 3.5.1 ;</w:t>
      </w:r>
    </w:p>
    <w:p>
      <w:r>
        <w:t>- 6 - TF 5A_342/2022 du 26 octobre 2022 consid. 2.1.1 ; TF 4A_97/2014 du 26 juin 2014 consid. 3.3). Il n’y a pas non plus lieu, en pareil cas, de statuer sur la base du dossier (TF 5A_342/2022 précité consid. 2.1.1 ; TF 4A_207/2022 du 17 octobre 2022 consid. 3.3.1 ; TF 5A_438/2012 du 10 septembre 2012 consid. 2.4). Il en va de même s’agissant de conclusions déficientes. Un tel vice n'étant pas d'ordre purement formel et affectant l'appel de façon irréparable (ATF 137 III 617 consid. 6.4, JdT 2014 Il 187 ; TF 5A_65/2022 précité consid. 3.5.1 ; TF 4A_659/2011 du 7 décembre 2011 consid. 5 in SJ 2012 I 31 ; Jeandin, Commentaire romand du Code de procédure civile, 2e éd., Bâle 2019, n. 5 ad art. 311 CPC ; CACI 15 mars 2023/123 consid. 3.2). 2.2 En l’espèce, l’appelant n’a pris aucune conclusion dans son courrier du 6 novembre 2023, par lequel il déclare contester l’ordonnance litigieuse. On ignore ainsi quels points du dispositif de cette ordonnance il conteste, respectivement dans quelle mesure il en demande la modification. Même interprété à la lumière de son contenu, le courrier du 6 novembre 2023 ne permet pas de comprendre ce que l’appelant souhaite, notamment s’il entend uniquement être exempté du paiement de toute contribution d’entretien. Dans ces conditions, l’appel se révèle irrecevable pour ce motif déjà. Par ailleurs, l’appel ne contient aucune argumentation en lien avec le prononcé entrepris qui soit susceptible de remettre valablement en cause le raisonnement du premier juge et le résultat auquel celui-ci a abouti. L’appelant se contente d’indiquer qu’il n’a pas été tenu compte des frais de prise en charge de son père dans la fixation de la pension, ce qui est manifestement insuffisant pour en déduire que la décision rendue ne serait pas conforme au droit ou que l’autorité de première instance aurait écarté à tort cet élément. Il n’indique pas non plus à quel montant la contribution d’entretien aurait dû être fixée selon lui s’il avait été tenu compte des frais de prise en charge de son père. Il faut encore rappeler que la décision contestée ne concerne pas la situation d’un enfant mineur et que par conséquent la maxime inquisitoire illimitée, comme la maxime d’office, ne s’appliquent pas (art. 296 a contrario CPC). L’appel s’avère en</w:t>
      </w:r>
    </w:p>
    <w:p>
      <w:r>
        <w:t>- 7 - conséquence dépourvu de motivation suffisante au regard des exigences jurisprudentielles rappelées ci-dessus. Pour le surplus, il n’est pas possible d’accorder à l’appelant un délai supplémentaire pour compléter sa motivation et ses conclusions déficientes, le vice étant irrémédiable. 3. 3.1 Il résulte de ce qui précède que l’appel doit être déclaré irrecevable selon le mode procédural de l’art. 312 al. 1 in fine CPC. 3.2 Il ne sera pas perçu de frais judiciaires de deuxième instance (art. 11 TFJC [tarif des frais judiciaires civils du 28 septembre 2010 ; BLV 270.11.5]). L’intimée n’ayant pas été invitée à procéder, il n’y a en outre pas lieu à l’allocation de dépens de deuxième instance. Par ces motifs, le Juge unique de la Cour d’appel civile prononce : I. L’appel est irrecevable. II. L’arrêt, rendu sans frais de deuxième instance, est exécutoire. Le juge unique : Le greffier :</w:t>
      </w:r>
    </w:p>
    <w:p>
      <w:r>
        <w:t>- 8 - Du Le présent arrêt, dont la rédaction a été approuvée à huis clos, est notifié à : - M. R.________, - Me Dario Barbosa, avocat (pour J.________),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