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JS23.015059 vom 18. Oktober 2023</w:t>
      </w:r>
    </w:p>
    <w:p>
      <w:r>
        <w:t>VD Tribunal cantonal, 2023-10-18, FR</w:t>
      </w:r>
    </w:p>
    <w:p>
      <w:r>
        <w:rPr>
          <w:b/>
        </w:rPr>
        <w:t xml:space="preserve">Quelle: </w:t>
      </w:r>
      <w:r>
        <w:t>https://mcp.opencaselaw.ch/entscheid/vd_gerichte_JS23.015059</w:t>
      </w:r>
    </w:p>
    <w:p>
      <w:r>
        <w:t>FR: VD_GERICHTE JS23.015059 du 18 octobre 2023</w:t>
      </w:r>
    </w:p>
    <w:p>
      <w:r>
        <w:t>IT: VD_GERICHTE JS23.015059 del 18 ottobre 2023</w:t>
      </w:r>
    </w:p>
    <w:p>
      <w:pPr>
        <w:pStyle w:val="Heading2"/>
      </w:pPr>
      <w:r>
        <w:t>Erwägungen</w:t>
      </w:r>
    </w:p>
    <w:p>
      <w:r>
        <w:rPr>
          <w:b/>
        </w:rPr>
        <w:t>E. 3.1</w:t>
      </w:r>
    </w:p>
    <w:p>
      <w:r>
        <w:t>L’appelant conteste l’avis aux débiteurs prononcé, invoquant les griefs examinés ci-dessous.</w:t>
      </w:r>
    </w:p>
    <w:p>
      <w:r>
        <w:rPr>
          <w:b/>
        </w:rPr>
        <w:t>E. 3.2.1</w:t>
      </w:r>
    </w:p>
    <w:p>
      <w:r>
        <w:t>Aux termes de l’art. 177 CC, lorsqu’un époux ne satisfait pas à son devoir d’entretien, le juge peut prescrire aux débiteurs de cet époux d’opérer tout ou partie de leurs paiements entre les mains de son conjoint. L’avis aux débiteurs est une mesure d’exécution forcée privilégiée sui generis (ATF 130 III 489 consid. 1.2 et la réf. citée, JdT 2004 I 426), qui est connexe au droit civil (ATF 134 III 667 consid. 1.1, JdT 2009 I 176). Le bien- fondé du droit à l’entretien n’a pas à être examiné dans le cadre de la procédure d’avis aux débiteurs qui, comme mesure d’exécution, présuppose que la contribution d’entretien ait déjà été fixé par convention ou jugement. L’examen du juge se limite aux conditions de l’avis aux débiteurs (ATF 145 III 225 consid. 5.2.2 ; CACI 27 novembre 2019/612).</w:t>
      </w:r>
    </w:p>
    <w:p>
      <w:r>
        <w:rPr>
          <w:b/>
        </w:rPr>
        <w:t>E. 3.2.2</w:t>
      </w:r>
    </w:p>
    <w:p>
      <w:r>
        <w:t>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(ATF 145 III 255 consid. 5.2.2, JdT 2020 II 230). Des</w:t>
      </w:r>
    </w:p>
    <w:p>
      <w:r>
        <w:t>- 13 - indices en ce sens sont suffisants s’ils reposent sur des circonstances concrètes ; le juge, qui statue en équité, en tenant compte des circonstances de l’espèce, dispose d’un large pouvoir d’appréciation (TF 5A_874/2015 du 2 mars 2016 consid. 6.1).</w:t>
      </w:r>
    </w:p>
    <w:p>
      <w:r>
        <w:rPr>
          <w:b/>
        </w:rPr>
        <w:t>E. 3.2.3</w:t>
      </w:r>
    </w:p>
    <w:p>
      <w:r>
        <w:t>L’avis aux débiteurs doit en principe intervenir pour le montant alloué dans la décision formant le titre de l’entretien. Cela étant, en tant que mesure d’exécution forcée privilégiée d’une décision ayant pour objet le paiement d’une somme d’argent, l’avis aux débiteurs se substitue à une mainlevée définitive suivie d’une saisie (ATF 137 III 193 consid. 1.2). En conséquence, bien que cette institution, propre au droit de la famille, ne réponde pas aux règles de la loi fédérale sur la poursuite pour dettes et la faillite, le juge qui ordonne aux tiers débiteurs d’opérer leurs paiements directement entre les mains du créancier d'aliments doit observer, cas échéant, les principes développés pour la détermination du minimum vital au sens de l’art. 93 LP (TF 5A_158/2020 du 21 décembre 2020 consid. 3.1 et les références citées). Ainsi, le minimum vital du droit des poursuites – et non le minimum vital élargi du droit de la famille – du débirentier doit être préservé (CACI 7 décembre 2021/585 consid. 5.3). Selon les Lignes directrices pour le calcul du minimum vital du droit des poursuites selon l’art. 93 LP édictées par la Conférence des préposés aux poursuites et faillites de Suisse (ci-après : les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 et de suppléments, qualifiés de dépenses indispensables ou charges incompressibles (soit les coûts du logement, pour autant qu’ils ne soient pas disproportionnés par rapport à la situation économique et personnelle du débiteur, les primes d’assurance-maladie obligatoire, les frais d’acquisition du revenu strictement nécessaires, les frais d’écolage des enfants, les frais particuliers liés à la santé). Les impôts ne doivent pas être pris en compte pour le calcul du minimum vital strict (ATF 126 III 89</w:t>
      </w:r>
    </w:p>
    <w:p>
      <w:r>
        <w:t>- 14 - consid. 3b et les réf. citées) ; cela étant, pour les débiteurs soumis à l’impôt à la source, seul le salaire effectivement perçu doit être pris en compte (ATF 90 III 33). Chez les enfants, entrent dans le minimum vital du droit des poursuites, en dérogation aux Lignes directrices, une part au logement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w:t>
      </w:r>
    </w:p>
    <w:p>
      <w:r>
        <w:rPr>
          <w:b/>
        </w:rPr>
        <w:t>E. 3.2.4</w:t>
      </w:r>
    </w:p>
    <w:p>
      <w:r>
        <w:t>En outre, si le débiteur entend se prévaloir de ce que sa situation s’est aggravée depuis le jugement formant le titre de l’entretien – au point que son minimum vital pourrait être entamé –, il lui incombe d’alléguer et prouver une telle aggravation ; il ne peut s’en prévaloir lorsque la prétendue aggravation aurait pu être déjà invoquée dans la procédure ayant conduit au jugement formant le titre de l'entretien (TF 5A_638/2017 du 21 décembre 2017 consid. 5).</w:t>
      </w:r>
    </w:p>
    <w:p>
      <w:r>
        <w:rPr>
          <w:b/>
        </w:rPr>
        <w:t>E. 3.2.5</w:t>
      </w:r>
    </w:p>
    <w:p>
      <w:r>
        <w:t>L’avis aux débiteurs prend effet à compter de la notification de la décision qui le prononce (TF 5A_958/2012 du 27 juillet 2013 consid. 2.3.2.1). Le Tribunal fédéral a jugé qu’il n’était pas arbitraire de retenir que l’avis aux débiteurs ne valait pas pour les contributions arriérées et pouvait être limité au recouvrement des pensions échues à partir du moment où la mesure avait été sollicitée judiciairement (TF 5P.75/2004 du 26 mai 2004 consid. 3.2). On ne voit d’ailleurs guère comment un employeur pourrait retenir un montant quelconque sur le salaire déjà versé. L’avis aux débiteurs couvre ainsi les contributions d’entretien courantes et futures. Par « contributions courantes », on entend les montants en train d’être exigibles au moment de la requête, soit les premières contributions devenant exigibles depuis cette requête (CPF 8 avril 2019/42). Sauf précision contraire expresse, la mesure déploie ses effets de manière illimitée dans le temps (cf. Stoudmann, op. cit., p. 513 et réf. citées sous note infrapaginale no 2186).</w:t>
      </w:r>
    </w:p>
    <w:p>
      <w:r>
        <w:t>- 15 -</w:t>
      </w:r>
    </w:p>
    <w:p>
      <w:r>
        <w:rPr>
          <w:b/>
        </w:rPr>
        <w:t>E. 3.3</w:t>
      </w:r>
    </w:p>
    <w:p>
      <w:r>
        <w:t>Tout d’abord, l’appelant remet en question le principe du droit à l’entretien à l’intimée. Les développements de l’appelant s’agissant de la situation financière de l’intimée – à savoir que ses revenus seraient supérieurs à ses charges – sont dénués de pertinence au stade de l’avis aux débiteurs, conformément à la jurisprudence rappelée ci-dessus. Ces questions devront, le cas échéant, être tranchées dans le cadre de la décision à intervenir sur la modification de la contribution d’entretien litigieuse, dont la première juge a déjà été saisie (cf. requête de mesures provisionnelles de l’appelant du 25 mai 2023). En effet, le bien-fondé du droit à l’entretien n’a pas à être examiné dans le cadre de la présente procédure, dans la mesure où l’examen du juge se limite aux conditions de l’avis aux débiteurs et qu’il incombe au débiteur d’alléguer et de prouver, le cas échéant, que sa situation se serait dans l’intervalle aggravée au point que son minimum vital des poursuites serait atteint par la mesure d’exécution forcée. Il n’est donc pas entré en matière sur cet aspect.</w:t>
      </w:r>
    </w:p>
    <w:p>
      <w:r>
        <w:rPr>
          <w:b/>
        </w:rPr>
        <w:t>E. 3.4</w:t>
      </w:r>
    </w:p>
    <w:p>
      <w:r>
        <w:t>supra), il faut constater que l’appelant ne démontre pas qu’il ne serait plus en mesure de verser l’entretien litigieux dû à l’intimée sans entamer son minimum vital du droit de la famille, alors que c’est à lui qu’incombe le fardeau de la preuve correspondante (cf. consid. 3.2.4 supra). Il s’ensuit que l’appel doit être rejeté dans la mesure de sa recevabilité.</w:t>
      </w:r>
    </w:p>
    <w:p>
      <w:r>
        <w:rPr>
          <w:b/>
        </w:rPr>
        <w:t>E. 3.5</w:t>
      </w:r>
    </w:p>
    <w:p>
      <w:r>
        <w:t>L’appelant expose par ailleurs que la première juge aurait calculé son revenu au chômage de manière erronée, dans la mesure où il ne percevrait plus les allocations familiales pour son fils A.Z.________ depuis le mois d’avril 2023, mais uniquement pour le dernier-né B.Z.________, et que celles-ci n’auraient donc pas dû figurer dans les calculs. Entre le mois de décembre 2022 et mai 2023, l’appelant a perçu des indemnités journalières de l’assurance chômage d’un montant total de 38'156 fr. 80, soit 6'359 fr. 40 par mois en moyenne, hors allocations familiales, qui doivent être affectées à l’entretien du ou des enfants pour qui elles sont versées, comme retenu par la première juge. Ce montant correspond à ce qui a été retenu par la première juge, allocations familiales soustraites. L’appelant n’apporte aucune preuve du changement allégué depuis le mois de mai 2023 dans le versement des allocations familiales, mais ne fait qu’émettre l’hypothèse que celles-ci seraient versées à l’intimée. Il n’a toutefois produit aucun document allant dans ce sens, comme par exemple une décision de la caisse de compensation compétente. Partant, l’appelant ne saurait être suivi dans son grief, qui doit être rejeté.</w:t>
      </w:r>
    </w:p>
    <w:p>
      <w:r>
        <w:rPr>
          <w:b/>
        </w:rPr>
        <w:t>E. 3.6</w:t>
      </w:r>
    </w:p>
    <w:p>
      <w:r>
        <w:t>L’appelant se prévaut d’un autre calcul de ses charges.</w:t>
      </w:r>
    </w:p>
    <w:p>
      <w:r>
        <w:t>- 17 - Outre qu’il perd de vue que ce n’est pas le minimum vital du droit de la famille qui fait règle en la matière, mais seulement le minimum vital du droit des poursuites, il faut constater que l’appelant ne fait en réalité que substituer son point de vue à celui de la présidente, sans prendre la peine de critiquer de façon circonstanciée en quoi les considérants de celle-ci seraient erronés, incomplets ou contredits par des pièces du dossier. Ne satisfaisant pas à son devoir de motivation (art. 311 al. 1 CPC), un tel grief, ainsi formulé, est irrecevable. Les charges retenues seront donc telles qu’arrêtées par la décision attaquée (retranscrites au consid. C. 3. b) infra). Pour le surplus, dès lors que l’on ignore tout des revenus réalisés par l’appelant depuis sa sortie du chômage, mais que l’on doit supputer qu’il a rétabli favorablement sa situation financière (cf. consid.</w:t>
      </w:r>
    </w:p>
    <w:p>
      <w:r>
        <w:rPr>
          <w:b/>
        </w:rPr>
        <w:t>E. 3.7</w:t>
      </w:r>
    </w:p>
    <w:p>
      <w:r>
        <w:t>Au vu de ce qui précède, l’avis aux débiteurs sera confirmé en substance, mais quelque peu réformé dans sa formulation, dans la mesure où l’appelant s’est désinscrit du chômage. Ainsi, ordre sera donné à la Caisse de chômage, dans l’éventualité d’une réinscription de l’appelant au chômage, ou à tout futur employeur ou prestataire d’assurances sociales ou privées versant des sommes en remplacement de revenus à l’appelant, de retenir la somme de 2’105 fr. à la fin de chaque mois, sur les salaires, commissions ou autres prestations salariales, à titre de pension en faveur de son épouse, la première fois dès le mois de novembre 2023, et ainsi de suite, et d’en opérer le paiement sur le compte de l’intimée.</w:t>
      </w:r>
    </w:p>
    <w:p>
      <w:r>
        <w:rPr>
          <w:b/>
        </w:rPr>
        <w:t>E. 4.1</w:t>
      </w:r>
    </w:p>
    <w:p>
      <w:r>
        <w:t>En définitive, l’appel, manifestement infondé au sens de l’art. 312 al. 1 CPC, est rejeté dans la mesure où il est recevable.</w:t>
      </w:r>
    </w:p>
    <w:p>
      <w:r>
        <w:t>- 18 -</w:t>
      </w:r>
    </w:p>
    <w:p>
      <w:r>
        <w:rPr>
          <w:b/>
        </w:rPr>
        <w:t>E. 4.2</w:t>
      </w:r>
    </w:p>
    <w:p>
      <w:r>
        <w:t>Le rejet de la demande rend sans objet la requête d’effet suspensif formulée par l’appelant, pour autant que celle-ci soit recevable (cf. consid. 1.3 supra).</w:t>
      </w:r>
    </w:p>
    <w:p>
      <w:r>
        <w:rPr>
          <w:b/>
        </w:rPr>
        <w:t>E. 4.3</w:t>
      </w:r>
    </w:p>
    <w:p>
      <w:r>
        <w:t>Les frais judiciaires de deuxième instance doivent être arrêtés à 600 fr., (65 al. 2 TFJC [tarif des frais judiciaires civils du 28 septembre 2010 ; BLV 270.11.5]), à la charge de l’appelant, qui succombe (art. 106 al. 1 CPC). L’intimée n’ayant pas été invitée à se déterminer sur l’appel, il n’y a pas lieu de lui allouer de dépens. Par ces motifs, la Juge unique de la Cour d’appel civile prononce : I. L’appel est rejeté dans la mesure où il est recevable. II. La décision du 5 septembre 2023 est confirmée, l’avis aux débiteurs figurant au chiffre I étant reformulé d’office comme il suit : I. ordonne à la Caisse de chômage UNIA, office de paiement 175 Unia Nyon, rue de la Morâche 3, 1260 Nyon, dans l’éventualité d’une réinscription de W.________ au chômage, ou à tout futur employeur ou prestataire d’assurances sociales ou privées versant des sommes en remplacement de revenus à W.________, de retenir la somme de 2'105 fr. (deux mille cent cinq francs) à la fin de chaque mois sur les salaires, commissions, ou autres prestations salariales, à titre de pension en faveur de son épouse, L.________, la première fois dès le mois de novembre 2023, et ainsi de suite, et</w:t>
      </w:r>
    </w:p>
    <w:p>
      <w:r>
        <w:t>- 19 - d’en opérer le paiement sur le compte ouvert auprès de la banque UBS, [...], au nom de L.________. III. Les frais judiciaires de deuxième instance, arrêtés à 600 fr. (six cents francs), sont mis à la charge de l’appelant W.________. IV. La requête d’effet suspensif est sans objet. V. L’arrêt est exécutoire. La juge unique : La greffière : Du Le présent arrêt, dont la rédaction a été approuvée à huis clos, est notifié à : - Me Arnaud Landry (pour W.________), - Me Véronique Mauron-Demole (pour L.________), et communiqué, par l'envoi de photocopies, à : - Mme la Présidente du Tribunal civil de l’arrondissement de La Côte. Un extrait du présent jugement sera communiqué à la Caisse de chômage UNIA, office de Nyon. La Juge unique de la Cour d’appel civile considère que la valeur litigieuse est supérieure à 30'000 francs. Le présent arrêt peut faire l'objet d'un recours en matière civile devant le Tribunal fédéral au sens des art. 72 ss LTF (loi du 17 juin</w:t>
      </w:r>
    </w:p>
    <w:p>
      <w:r>
        <w:t>- 20 - 2005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