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JS23.010018 vom 11. Oktober 2024</w:t>
      </w:r>
    </w:p>
    <w:p>
      <w:r>
        <w:t>VD Tribunal cantonal, 2024-10-11, FR</w:t>
      </w:r>
    </w:p>
    <w:p>
      <w:r>
        <w:rPr>
          <w:b/>
        </w:rPr>
        <w:t xml:space="preserve">Quelle: </w:t>
      </w:r>
      <w:r>
        <w:t>https://mcp.opencaselaw.ch/entscheid/vd_gerichte_JS23.010018</w:t>
      </w:r>
    </w:p>
    <w:p>
      <w:r>
        <w:t>FR: VD_GERICHTE JS23.010018 du 11 octobre 2024</w:t>
      </w:r>
    </w:p>
    <w:p>
      <w:r>
        <w:t>IT: VD_GERICHTE JS23.010018 del 11 ottobre 2024</w:t>
      </w:r>
    </w:p>
    <w:p>
      <w:pPr>
        <w:pStyle w:val="Heading2"/>
      </w:pPr>
      <w:r>
        <w:t>Erwägungen</w:t>
      </w:r>
    </w:p>
    <w:p>
      <w:r>
        <w:rPr>
          <w:b/>
        </w:rPr>
        <w:t>E. 1</w:t>
      </w:r>
    </w:p>
    <w:p>
      <w:r>
        <w:t>a) L’appelant, né le [...] 1990, et l’intimée, née [...] le [...] 1995, se sont mariés le [...] 2014 à [...] ([...]). Un enfant est issu de cette union : C.R.________, né le [...] 2016. b) Les parties sont séparées depuis le 26 février 2023, date à laquelle l’intimée a déménagé dans le Canton de Vaud avec C.R.________.</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w:t>
      </w:r>
    </w:p>
    <w:p>
      <w:r>
        <w:rPr>
          <w:b/>
        </w:rPr>
        <w:t>E. 1.2</w:t>
      </w:r>
    </w:p>
    <w:p>
      <w:r>
        <w:t>Formé en temps utile par une partie qui a un intérêt digne de protection (art. 59 al. 2 let. a CPC) contre une ordonnance de mesures</w:t>
      </w:r>
    </w:p>
    <w:p>
      <w:r>
        <w:t>- 9 - protectrices de l’union conjugale portant sur des conclusions non patrimoniales, l’appel est recevable. 2.</w:t>
      </w:r>
    </w:p>
    <w:p>
      <w:r>
        <w:rPr>
          <w:b/>
        </w:rPr>
        <w:t>E. 2</w:t>
      </w:r>
    </w:p>
    <w:p>
      <w:r>
        <w:t>a) L’intimée a déposé une requête de mesures protectrices de l’union conjugale le 6 mars 2023 et a conclu, avec suite de frais et dépens, notamment à l’attribution de la garde de l’enfant C.R.________ (II) et à ce que l’appelant bénéficie d’un libre et large droit de visite sur son fils à fixer d’entente entre les parties et, à défaut d’entente, à ce qu’il puisse avoir son enfant auprès de lui un week-end sur deux, le dimanche de 10h00 à 18h00, à charge pour l’appelant d’aller le chercher là où il se trouve et de le ramener chez l’intimée (III). b) Par réponse du 14 avril 2023, l’appelant a conclu, avec suite de frais et dépens, notamment à l’admission de la conclusion II et au rejet de la conclusion III de l’intimée. Il a conclu à ce que son droit de visite sur son fils s’exerce, à défaut d’entente entre les parties, chaque semaine du samedi soir à 18h00 au dimanche soir à 18h00, trois semaines de vacances par année, à savoir une semaine complète (7 jours) lors des vacances de Pâques, d’été et de Noël, la mère étant tenue d’amener l’enfant au domicile du père, à charge pour ce dernier de le ramener auprès de la mère chaque dimanche à 18h00. c) A l’audience de mesures protectrices de l’union conjugale du 4 mai 2023, les parties ont signé la convention suivante, ratifiée par le premier juge pour valoir ordonnance partielle de mesures protectrices de l’union conjugale :</w:t>
      </w:r>
    </w:p>
    <w:p>
      <w:r>
        <w:t>- 5 - « I. Les époux A.R.________ et B.R.________ conviennent de vivre séparés pour une durée indéterminée, étant précisé que la séparation effective date du 26 février 2023. II. La jouissance du domicile conjugal sis [...], à [...], est attribuée à A.R.________, à charge pour lui d’en payer le loyer et les charges dès séparation effective. III. La garde de l’enfant C.R.________, né le [...] 2016, est confiée à sa mère. IV. Parties conviennent que père et fils pourront s’appeler chaque mercredi et dimanche à 19h00, lorsqu’ils ne sont pas ensemble. V. A.R.________ contribuera à l’entretien de l’enfant C.R.________, né le [...] 2016, par le régulier versement, d’avance le premier de chaque mois, en mains de B.R.________, d’une contribution mensuelle de 2'100 fr. (deux mille cent francs), allocations familiales non comprises et dues en sus, dès et y compris le 1er mars 2023, sous déduction des montants déjà payés et prouvés (assurance-maladie, etc.). Pour fixer la contribution d’entretien qui précède, il est tenu compte du fait que B.R.________ n’a aucun revenu, que les revenus mensuels nets de A.R.________ s’élèvent à 6'600 fr. net environ, pour un 100%, éventuels dividendes non compris, et que ses charges (minimum vital LP) s’élèvent à 4'220 fr. environ. Le coût de l’entretien convenable de l’enfant C.R.________ s’élève à 3'970 fr., contribution de prise en charge comprise, sous déduction des allocations familiales de 300 francs. VI. A.R.________ versera à B.R.________ l’arriéré de contribution d’entretien pour les mois de mars 2023 à mai 2023, d’ici le 24 mai 2023, en transmettant dans le même délai les justificatifs des montants déjà versés. »</w:t>
      </w:r>
    </w:p>
    <w:p>
      <w:r>
        <w:rPr>
          <w:b/>
        </w:rPr>
        <w:t>E. 2.1.1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2.1.2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t>- 10 -</w:t>
      </w:r>
    </w:p>
    <w:p>
      <w:r>
        <w:rPr>
          <w:b/>
        </w:rPr>
        <w:t>E. 2.2</w:t>
      </w:r>
    </w:p>
    <w:p>
      <w:r>
        <w:t>En ce qui concerne les questions relatives aux enfants mineurs, l’art. 296 CPC prévoit l’application de la maxime d’office quant à l’objet du litige, ainsi que la maxime inquisitoire illimitée pour l’établissement des faits (TF 5A_245/2019 du 1er juillet 2019 consid. 3.2.1 et réf. cit.).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w:t>
      </w:r>
    </w:p>
    <w:p>
      <w:r>
        <w:rPr>
          <w:b/>
        </w:rPr>
        <w:t>E. 2.3</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2.4</w:t>
      </w:r>
    </w:p>
    <w:p>
      <w:r>
        <w:t>En l’espèce, la présente cause concerne la garde de l’enfant C.R.________ et les modalités du droit de visite du parent non-gardien, de sorte que la maxime inquisitoire illimitée trouve application. Les pièces nouvelles produites par l’appelant sont donc recevables et il en a été tenu compte dans la mesure utile. 3.</w:t>
      </w:r>
    </w:p>
    <w:p>
      <w:r>
        <w:rPr>
          <w:b/>
        </w:rPr>
        <w:t>E. 3</w:t>
      </w:r>
    </w:p>
    <w:p>
      <w:r>
        <w:t>Par ordonnance de mesures protectrices de l’union conjugale du 7 juillet 2023, le premier juge a notamment dit que l’appelant bénéficierait sur son fils C.R.________ d’un libre et large droit de visite à exercer d’entente entre les parties et qu’à défaut, il aurait son fils auprès de lui une semaine sur deux, du samedi à 17h00, au dimanche à 19h00, à charge pour la mère d’amener l’enfant auprès de son père le samedi et au père de ramener l’enfant auprès de sa mère le dimanche, ainsi que durant la moitié des vacances scolaires et des jours fériés (I).</w:t>
      </w:r>
    </w:p>
    <w:p>
      <w:r>
        <w:rPr>
          <w:b/>
        </w:rPr>
        <w:t>E. 3.1</w:t>
      </w:r>
    </w:p>
    <w:p>
      <w:r>
        <w:t>L’appelant fait valoir en premier lieu que la garde exclusive de C.R.________ devrait lui être attribuée, en modification de la convention du 4 mai 2023, au motif que les parties ne parviendraient pas à se mettre</w:t>
      </w:r>
    </w:p>
    <w:p>
      <w:r>
        <w:t>- 11 - d’accord sur l’exercice des relations personnelles entre le père et son fils, alors même que l’éloignement des domiciles commanderait que cette relation soit soutenue par le parent gardien. La réglementation en vigueur ne fonctionnerait pas et nuirait au bien-être de l’enfant, de sorte qu’il conviendrait de la changer.</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5A_720/2011 du 8 mars 2012 consid. 4.1.2 et réf. cit. ; TF 5A_811/2012 du 18 février 2013 consid. 3.2 et réf. cit.).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5A_597/2022 du 7 mars 2023 consid. 3.3 ; TF 5A_963/2021 du</w:t>
      </w:r>
    </w:p>
    <w:p>
      <w:r>
        <w:t>- 12 - 1er septembre 2022 consid. 3.2.1 ; TF 5A_942/2021 du 17 août 2022 consid. 3.1 ; TF 5A_100/2021 du 25 août 2021 consid. 3.1 et réf. cit.).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sont consécutives (TF 5A_404/2023 du 13 juin 2023 consid. 2.1 ; TF 5A_230/2022 du 21 septembre 2022 consid. 2.1 ; TF 5A_742/2021 du 8 avril 2022 consid. 3.1 et réf. cit. ; sur le tout : TF 5A_499/2023 du 26 février 2024 consid. 4.1).</w:t>
      </w:r>
    </w:p>
    <w:p>
      <w:r>
        <w:rPr>
          <w:b/>
        </w:rPr>
        <w:t>E. 3.3.1</w:t>
      </w:r>
    </w:p>
    <w:p>
      <w:r>
        <w:t>En l’occurrence, le premier juge a rappelé que les parties avaient transigé les conditions de la garde de l’enfant et de l’entretien de celui-ci par convention partielle du 4 mai 2023, ratifiée séance tenante pour valoir mesures protectrices de l’union conjugale et que la question précise du droit de visite avait, elle, été réglementée d’une part par ordonnance de mesures protectrices de l’union conjugale du 7 juillet 2023, telle que réformée, respectivement complétée en son chiffre I par l’arrêt sur appel du 1er décembre 2023 de la Juge unique de la Cour de céans (supra consid. 3 et 4). Statuant sur la requête de modification formée le 22 mars 2024 par l’appelant, le premier juge a rappelé que la question de la garde avait été transigée par les parties en tenant compte de la disponibilité bien plus importante de l’intimée, du fait que celle-ci était le parent de référence de l’enfant du temps de la vie commune, l’appelant ayant toujours travaillé et que l’appelant n’avait pas formé appel de cette décision, mais en avait sollicité la modification – à peine – quelques mois plus tard. Or, les difficultés d’adaptation en Suisse romande et le mal-être de l’enfant, en lien avec les difficultés au niveau de l’école et de la langue n’avait pas été rendues vraisemblables. Il apparaissait au contraire que l’intimée, selon les dires du premier juge, bénéficiait d’un fort soutien familial à [...], cet environnement familial étant susceptible d’aider l’enfant en cas de problèmes à l’école, que les absences de l’enfant n’étaient pas</w:t>
      </w:r>
    </w:p>
    <w:p>
      <w:r>
        <w:t>- 13 - pertinentes, en fin de compte, vu ses résultat scolaires rassurants ; qu’en substance, aucun élément ne justifiait de modifier le système de garde convenu, l’intérêt de l’enfant commandant qu’il reste auprès de sa mère, alors qu’un nouveau changement de garde et donc d’environnement lui serait délétère ; qu’il fallait privilégier la stabilité de C.R.________ et ce bien que l’on puisse comprendre le désarroi de l’appelant d’être séparé de son fils.</w:t>
      </w:r>
    </w:p>
    <w:p>
      <w:r>
        <w:rPr>
          <w:b/>
        </w:rPr>
        <w:t>E. 3.3.2</w:t>
      </w:r>
    </w:p>
    <w:p>
      <w:r>
        <w:t>L’appelant plaide, quant à l’absence de communication entre parties, les déterminations de l’intimée du 14 juin 2024 (all. 190 et 191) ainsi que la pièce no 10 et le procès-verbal d’audience du 27 juin 2024 s’agissant des difficultés à planifier les vacances. Or, les allégués 190 et 191 de l’intimée font état d’une pression inacceptable de l’appelant sur C.R.________ afin que celui-ci respecte l’horaire prévu pour leurs communications téléphoniques en semaine, alors que l’enfant préférerait parfois lui faire des messages vocaux ou l’appeler à un autre moment. Ces déterminations ne rapportent absolument pas la preuve que l’intimée entraverait la communication père-fils et il est illusoire de prétendre astreindre un enfant de 8 ans et demi à respecter scrupuleusement les horaires de conversations téléphoniques deux fois par semaine, sauf à exercer, du côté maternel cette fois, une pression considérable sur l’enfant lorsque celui-ci estime avoir « mieux » à faire ou qu’il n’a pas, sur le moment, envie de parler au téléphone. Quant à la pièce no 10 et le procès-verbal d’audience du 27 juin 2024, ils reflètent effectivement des difficultés rencontrées par les parties pour organiser les vacances de l’enfant durant l’été, qui a nécessité l’intervention du juge. Cela étant, ces éléments de l’instruction ne démontrent pas que ce serait l’intimée qui serait responsable de ces difficultés. On peut bien plus subodorer que des difficultés de communication sont inévitables dans le contexte d’une séparation encore récente, mais qu’à force de patience et de compromis, la communication devrait s’améliorer. Ce ne sont en tout cas pas des difficultés telles</w:t>
      </w:r>
    </w:p>
    <w:p>
      <w:r>
        <w:t>- 14 - qu’elles justifieraient une modification de la prise en charge de C.R.________, ni d’ailleurs une curatelle de surveillance éducative au sens de l’art. 308 al. 2 CC. Bien plus doit-on rappeler les parties à leurs devoirs parentaux, soit en l’occurrence la mère à son devoir de favoriser le lien père-fils, et le père à son devoir de communiquer directement avec la mère pour aplanir les éventuelles difficultés et ne pas mêler C.R.________ à celles-ci en l’utilisant comme messager, pas même pour la transmission de planning destiné à l’exercice du droit de visite.</w:t>
      </w:r>
    </w:p>
    <w:p>
      <w:r>
        <w:rPr>
          <w:b/>
        </w:rPr>
        <w:t>E. 3.3.3</w:t>
      </w:r>
    </w:p>
    <w:p>
      <w:r>
        <w:t>L’appelant plaide ensuite les difficultés d’intégration de C.R.________ en Romandie et avec la langue française, dont témoigneraient ses résultats scolaires médiocres et ses absences scolaires, qui commanderaient un retour de l’enfant auprès de son père, dans le milieu germanophone dans lequel il a grandi. En l’occurrence, les difficultés d’intégration se traduisant par des difficultés scolaires sont démenties par la pièce no 110 dont se prévaut l’appelant : selon le point de situation établi par l’établissement scolaire de [...] le 30 janvier 2024, C.R.________ avait des résultats très majoritairement excellents (« LA » signifiant « largement acquis »), à l’exception des activités créatrices et manuelles où il n’obtenait que AA (« acquis avec aisance » et A (« acquis »). Le même document fait état de grands progrès de l’enfant en français, qui osait parler, mémorisait le lexique, cherchait ses mots, mais osait s’exprimer, commençait à déchiffrer même s’il avait besoin d’explications pour comprendre les consignes ou les phrases. Il en ressort aussi que C.R.________ avait une très bonne logique en maths, mais peinait à s’organiser (pour le regroupement par exemple) et devait fournir des efforts en motricité fine (activités artistiques ou écriture liée), de même qu’il devait continuer à parler beaucoup en français pour continuer à progresser. Ledit document fait en outre état de 26 absences, ce qui est relativement conséquent, ce que l’appelant souligne, critiquant implicitement l’appréciation du premier juge selon laquelle ces absences ne sont pas déterminantes vu les résultats scolaires de l’enfant. Le point</w:t>
      </w:r>
    </w:p>
    <w:p>
      <w:r>
        <w:t>- 15 - de situation précité ne formule toutefois aucun autre commentaire relatif aux absences de l’enfant, de sorte que l’on ne saurait en déduire une lacune dans la prise en charge maternelle, comme semble le sous- entendre l’appelant. Il ne fait pas de doute que si l’école avait dû rappeler à la mère son devoir de veiller à la scolarisation effective de C.R.________, elle l’aurait fait. Enfin, il ressort du dossier que l’intimée suit elle-même des cours de français (pièce no 112), de sorte que c’est en vain que l’appelant stigmatise le fait que l’enfant serait aidé non par ses parents, mais par d’autres membres de la famille maternelle ; nul doute qu’à terme, l’intimée sera en mesure d’aider elle-même son enfant, si tant est que celui-ci en ait encore besoin et ne progresse pas plus vite encore, ce qui est généralement le cas d’enfants de cet âge lorsqu’ils sont suffisamment intégrés ; or c’est le cas de C.R.________, qui est confronté à la langue française non seulement à l’école, mais aussi dans le cadre des activités extra-scolaires (foot, judo).</w:t>
      </w:r>
    </w:p>
    <w:p>
      <w:r>
        <w:rPr>
          <w:b/>
        </w:rPr>
        <w:t>E. 3.4.1</w:t>
      </w:r>
    </w:p>
    <w:p>
      <w:r>
        <w:t>En définitive, les difficultés mises en avant par l’appelant ne sont pas établies, respectivement apparaissent comme mineures et impropres à justifier une modification de la prise en charge de C.R.________. En tout état de cause, le bien-être de l’enfant et son bon développement n’apparaissent pas du tout compromis par sa prise en charge actuelle. Au contraire, on peut supposer qu’à terme, l’enfant sera enrichi du fait de communiquer auprès de chacun de ses parents dans un cadre linguistique différent. Comme souligné par le premier juge, c’est de stabilité dont l’enfant a besoin. Contrairement à ce que plaide l’appelant, le fait de devoir changer à nouveau de lieu et de cadre de vie à brève échéance engendre une instabilité préjudiciable à l’intégration et au bon développement de l’enfant, raison pour laquelle la jurisprudence réserve la modification de la garde et de la prise en charge à des situations pour lesquelles la nouvelle réglementation apporte un plus indéniable du point de vue du seul intérêt de l’enfant – non du point de vue de l’intérêt de l’un ou l’autre, voire des deux parents.</w:t>
      </w:r>
    </w:p>
    <w:p>
      <w:r>
        <w:t>- 16 - L’appel doit être rejeté en tant qu’il vise à modifier la prise en charge personnelle de l’enfant et il ne se justifie pas d’entrer en matière sur les hypothèses formulées par ailleurs par l’appelant quant à la prise en charge de C.R.________ qu’il propose, en l’absence d’intérêt de l’enfant à ce qu’une nouvelle réglementation de sa prise en charge soit mise en œuvre et ce quand bien même l’appelant serait le meilleur des pères – étant rappelé que ses compétences parentales ne sont pas mises en doute. Il incombe à l’appelant d’accepter que l’intervention judiciaire ne saurait équivaloir au jugement de Salomon et qu’au vu de la distance entre les deux domiciles respectifs des parties, une solution idéale pour les deux parents ne prévaudra pas.</w:t>
      </w:r>
    </w:p>
    <w:p>
      <w:r>
        <w:rPr>
          <w:b/>
        </w:rPr>
        <w:t>E. 3.4.2</w:t>
      </w:r>
    </w:p>
    <w:p>
      <w:r>
        <w:t>Les quelques difficultés d’organisation et de communication rencontrées par les parties autour du droit de visite, qualifiées par le premier juge, à juste titre, de « sporadiques », ne justifient pas non plus qu’une curatelle de surveillance des relations personnelles au sens de l’art. 308 al. 2 CC soit mise en œuvre. En effet, l’instauration d’une telle mesure suppose que les tensions relatives à l'exercice du droit de visite mettent gravement en danger le bien de l'enfant, notamment lorsque de telles tensions ont déjà été rencontrées à de précédents stades du conflit ou de la procédure.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(TF 5A_4/2016 du 15 juin 2016 consid. 3.3.2 et les réf. cit.). Or, comme cela a été relevé ci-avant, les difficultés de moindre importance rencontrées par les parties dans la mise en œuvre du droit de visite de l’appelant n’apparaissent nullement mettre en danger le bien- être de C.R.________, de sorte que l’instauration d’une telle mesure serait disproportionnée et partant non nécessaire. 4.</w:t>
      </w:r>
    </w:p>
    <w:p>
      <w:r>
        <w:t>- 17 -</w:t>
      </w:r>
    </w:p>
    <w:p>
      <w:r>
        <w:rPr>
          <w:b/>
        </w:rPr>
        <w:t>E. 4</w:t>
      </w:r>
    </w:p>
    <w:p>
      <w:r>
        <w:t>Ensuite de l’appel formé le 20 juillet 2023 par l’intimée, la Cour d’appel civile, par arrêt du 1er décembre 2023, a réformé le chiffre I susmentionné en ce sens que la mère était chargée d’amener l’enfant C.R.________ auprès de son père moyennant le versement par ce dernier</w:t>
      </w:r>
    </w:p>
    <w:p>
      <w:r>
        <w:t>- 6 - en mains de celle-ci de la somme de 165 fr. par mois, correspondant aux coûts des billets de train.</w:t>
      </w:r>
    </w:p>
    <w:p>
      <w:r>
        <w:rPr>
          <w:b/>
        </w:rPr>
        <w:t>E. 4.1</w:t>
      </w:r>
    </w:p>
    <w:p>
      <w:r>
        <w:t>Dans un autre moyen, l’appelant fait valoir que ses revenus auraient diminué et son budget augmenté, ce qui rendrait la contribution fixée « inéquitable » eu égard au fait que l’intimée aurait elle aussi l’obligation d’épuiser sa capacité contributive et de devenir autonome financièrement, au plus tard au moment du divorce.</w:t>
      </w:r>
    </w:p>
    <w:p>
      <w:r>
        <w:rPr>
          <w:b/>
        </w:rPr>
        <w:t>E. 4.2</w:t>
      </w:r>
    </w:p>
    <w:p>
      <w:r>
        <w:t>Il ne ressort pas de la procédure de première instance, en particulier pas de la requête de modification de mesures protectrices de l’union conjugale formée par l’appelant le 22 mars 2024, ni de la décision attaquée, que l’appelant aurait requis une modification de la contribution d’entretien à sa charge indépendamment de la question de la prise en charge de C.R.________. A titre subsidiaire, en appel, l’appelant a requis qu’il lui soit donné acte de son engagement à verser 400 fr. par mois au titre de contribution d’entretien en faveur de C.R.________, ce rétroactivement à compter du 1er août 2024 et sous déduction des sommes déjà payées La formulation de cet engagement unilatéral, qui tend au mieux à son constat, ne correspond pas à une conclusion recevable sous l’angle de l’art. 311 al. 1 CPC, à savoir une conclusion tendant à la réforme de la décision attaquée dans un sens suffisamment précis pour que le tribunal puisse la reprendre telle quelle dans le dispositif de son arrêt (cf. art. 318 al. 1 CPC ; ATF 137 III 617 consid. 4.2 in fine, JdT 2014 II 187 ; CR CPC-Jeandin, 2e éd., 2019, n. 4 ad art. 311 CPC et réf. cit.). A supposer qu’il faille y déceler une véritable conclusion en réforme, il faudrait constater son irrecevabilité dans le cadre de l’appel, dès lors qu’elle n’a pas fait l’objet de l’instruction en première instance, que la décision attaquée n’en fait pas mention autrement et qu’elle apparaît donc nouvelle, sans que l’appelant, dûment assisté d’un conseil professionnel, ne motive, conformément à ce qui peut être attendu de lui, en application de l’art. 311 al. 1 CPC, en quoi la décision attaquée serait lacunaire, erronée, ou contredite par des éléments valablement introduits en première instance, ou encore erronée en droit.</w:t>
      </w:r>
    </w:p>
    <w:p>
      <w:r>
        <w:t>- 18 - Au surplus, à supposer recevable, ce moyen et la conclusion qu’il sous-tend devraient être rejetés. L’appelant fait certes valoir que les salaires de ses employés auraient dû être augmentés et que ses propres revenus auraient baissé. Il produit un nouveau contrat de travail le concernant avec un salaire revu à la baisse (pièce no 158) ainsi qu’une copie de la convention collective applicable (pièce no 157). Il renvoie au surplus à des notions comptables, telles que l’EBT et l’EBIT qui, « aux dernière nouvelles », étaient négatifs. Toutefois, il faut constater que le fait que les salaires auraient été concrètement augmentés dans l’entreprise n’est pas établi, la seule référence à la convention collective applicable n’étant pas suffisante. Par ailleurs, il faut relever qu’à teneur du registre du commerce du Canton de [...] (fait notoire), c’est l’appelant qui est titulaire économique de la société à responsabilité limitée [...] qui l’emploie, dont il est le seul associé et le seul gérant, avec droit de signature individuelle et dont il détient toutes les parts sociales. C’est donc lui qui décide des orientations comptables qu’il entend donner à la société, qui a accès à sa comptabilité et en fournit les données. Or ce nonobstant, il ne produit aucune comptabilité fiable, même intermédiaire, dont il ressortirait que c’est en raison d’une baisse du chiffre d’affaires ou d’une augmentation des charges que la société en question aurait dû réduire son salaire d’employé, alors que, dans le même temps, l’appelant plaide avoir dû augmenter tous les autres salaires. L’appelant n’indique pas davantage dans quelle mesure son budget, dont il invoque pourtant le caractère déficitaire, lui permettrait d’honorer son engagement de verser 400 fr. par mois pour l’entretien de son fils. Enfin, la référence au fait que l’intimée avait travaillé durant la vie commune et serait responsable du fait de ne pas trouver de travail 18 mois après la fin de la vie commune n’est pas autrement étayé que par une référence à l’allégué 199, lequel est un allégué de l’intimée par lequel celle-ci a invoqué le fait d’être très motivée et de suivre des cours de langue française (cf. déterminations du 14 juin 2024 de l’intimée), soit une référence manifestement insuffisante à en déduire la responsabilité de l’intimée dans le fait de ne pas travailler.</w:t>
      </w:r>
    </w:p>
    <w:p>
      <w:r>
        <w:t>- 19 - En tout état de cause, ces griefs tirés de la capacité économique de l’une et l’autre partie devraient être rejetés dans la mesure de leur recevabilité. 5. Enfin, l’appelant a plaidé n’avoir pas les moyens de verser les dépens de première instance à son épouse étant donné qu’il plaide au bénéfice de l’assistance judiciaire en première instance. Ce faisant, il perd de vue que le fait de bénéficier de l’assistance judiciaire ne dispense pas de l’obligation de verser des dépens (art. 118 al. 3 et 122 al. 1 let. d CPC), auxquels il a en l’occurrence été condamné à juste titre vu l’issue de la procédure de première instance. Au demeurant, il ne rend pas sa prétendue indigence vraisemblable. Le grief, sans substance, doit être rejeté. 6.</w:t>
      </w:r>
    </w:p>
    <w:p>
      <w:r>
        <w:rPr>
          <w:b/>
        </w:rPr>
        <w:t>E. 5</w:t>
      </w:r>
    </w:p>
    <w:p>
      <w:r>
        <w:t>Autoriser Monsieur A.R.________ à entreprendre seul toute démarche nécessaire dans le cadre du déménagement de l’enfant C.R.________, y compris les désinscriptions et inscriptions aux écoles, aux contrôles des habitants et à l’assurance-maladie ;</w:t>
      </w:r>
    </w:p>
    <w:p>
      <w:r>
        <w:rPr>
          <w:b/>
        </w:rPr>
        <w:t>E. 6</w:t>
      </w:r>
    </w:p>
    <w:p>
      <w:r>
        <w:t>Exhorter Madame B.R.________ à concourir à tout acte nécessaire dans le cadre du déménagement de l’enfant C.R.________ et des désinscriptions et inscriptions y relatives ;</w:t>
      </w:r>
    </w:p>
    <w:p>
      <w:r>
        <w:rPr>
          <w:b/>
        </w:rPr>
        <w:t>E. 6.1</w:t>
      </w:r>
    </w:p>
    <w:p>
      <w:r>
        <w:t>Au vu de ce qui précède, l’appel, manifestement mal fondé, doit être rejeté, dans la mesure de sa recevabilité.</w:t>
      </w:r>
    </w:p>
    <w:p>
      <w:r>
        <w:rPr>
          <w:b/>
        </w:rPr>
        <w:t>E. 6.2</w:t>
      </w:r>
    </w:p>
    <w:p>
      <w:r>
        <w:t>Les frais judiciaires de deuxième instance, arrêtés à 600 fr. (63 al. 1 TFJC [tarif des frais judiciaires civils du 28 septembre 2010 ; BLV 270.11.5]), doivent être mis à la charge de l’appelant, qui succombe (art. 106 al. 1 CPC). Il ne sera pas alloué de dépens de deuxième instance, l’intimée n’ayant pas été invitée à se déterminer.</w:t>
      </w:r>
    </w:p>
    <w:p>
      <w:r>
        <w:t>- 20 - Par ces motifs, la Juge unique de la Cour d’appel civile prononce : I. L’appel est rejeté. II. L’ordonnance est confirmée. III. Les frais judiciaires de deuxième instance, arrêtés à 600 fr. (six cents francs), sont mis à la charge de l’appelant A.R.________. IV. L’arrêt est exécutoire. La juge unique : Le greffier : Du Le présent arrêt, dont la rédaction a été approuvée à huis clos, est notifié à : - Me Josef Alkatout (pour A.R.________), - Me Jeton Kryeziu (pour B.R.________),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Le greffier :</w:t>
      </w:r>
    </w:p>
    <w:p>
      <w:r>
        <w:rPr>
          <w:b/>
        </w:rPr>
        <w:t>E. 7</w:t>
      </w:r>
    </w:p>
    <w:p>
      <w:r>
        <w:t>Réserver à Madame B.R.________ un large droit de visite à exercer à partir du 23 août 2024 d’entente entre les parties mais, à défaut d’entente, un week-end sur deux du vendredi à la sortie de l’école au dimanche soir à 19h, un mercredi après- midi sur deux, si la mère le souhaite, ainsi que pendant toutes les vacances d’automne et toutes les vacances de Carnival (sic), la première moitié des vacances de Noël et la première moitié des vacances d’été, étant précisé que les jours fériés dans le Canton de [...] seront toujours attribuées (sic) au requérant, à charge pour la mère de venir chercher l’enfant lors de tout exercice de droit de visite au domicile du père et de l’y ramener ;</w:t>
      </w:r>
    </w:p>
    <w:p>
      <w:r>
        <w:rPr>
          <w:b/>
        </w:rPr>
        <w:t>E. 8</w:t>
      </w:r>
    </w:p>
    <w:p>
      <w:r>
        <w:t>Donner acte à Monsieur A.R.________ d’établir pour chaque année civile un calendrier de répartition de vacances, et de le soumettre à la mère au plus tard le 30 septembre de l’année précédente, laissant à Madame B.R.________ 30 jours pour requérir des modifications, la première fois le 30 septembre 2024 pour 2025 ;</w:t>
      </w:r>
    </w:p>
    <w:p>
      <w:r>
        <w:rPr>
          <w:b/>
        </w:rPr>
        <w:t>E. 9</w:t>
      </w:r>
    </w:p>
    <w:p>
      <w:r>
        <w:t>Exhorter les parties à faire preuve de flexibilité quant à l’exercice des relations personnelles entre parents et enfant compte tenu des obligations professionnelles du père et de la distance des domiciles respectifs des parties ;</w:t>
      </w:r>
    </w:p>
    <w:p>
      <w:r>
        <w:rPr>
          <w:b/>
        </w:rPr>
        <w:t>E. 10</w:t>
      </w:r>
    </w:p>
    <w:p>
      <w:r>
        <w:t>Réserver à Madame B.R.________ (sic) la possibilité d’appeler l’enfant C.R.________ par tout moyen de communication ou de vidéoconférence d’entente entre les parties mais, à défaut d’entente, au moins chaque mardi et jeudi à 19h ;</w:t>
      </w:r>
    </w:p>
    <w:p>
      <w:r>
        <w:t>- 7 -</w:t>
      </w:r>
    </w:p>
    <w:p>
      <w:r>
        <w:rPr>
          <w:b/>
        </w:rPr>
        <w:t>E. 11</w:t>
      </w:r>
    </w:p>
    <w:p>
      <w:r>
        <w:t>Instaurer une curatelle de surveillance des relations personnelles ;</w:t>
      </w:r>
    </w:p>
    <w:p>
      <w:r>
        <w:rPr>
          <w:b/>
        </w:rPr>
        <w:t>E. 12</w:t>
      </w:r>
    </w:p>
    <w:p>
      <w:r>
        <w:t>Donner acte à Monsieur A.R.________ de son engagement à prendre en charge tous les frais directs de l’enfant C.R.________ à partir du 1er août 2024 ;</w:t>
      </w:r>
    </w:p>
    <w:p>
      <w:r>
        <w:rPr>
          <w:b/>
        </w:rPr>
        <w:t>E. 13</w:t>
      </w:r>
    </w:p>
    <w:p>
      <w:r>
        <w:t>Dire que les allocations familiales sont versées en faveur de Monsieur A.R.________ à partir du 1er août 2024 ;</w:t>
      </w:r>
    </w:p>
    <w:p>
      <w:r>
        <w:rPr>
          <w:b/>
        </w:rPr>
        <w:t>E. 14</w:t>
      </w:r>
    </w:p>
    <w:p>
      <w:r>
        <w:t>Dire qu’aucune contribution de prise en charge n’est due à partir du 1er août 2024 ;</w:t>
      </w:r>
    </w:p>
    <w:p>
      <w:r>
        <w:rPr>
          <w:b/>
        </w:rPr>
        <w:t>E. 15</w:t>
      </w:r>
    </w:p>
    <w:p>
      <w:r>
        <w:t>Donne acte à Monsieur A.R.________ de son engagement à prendre en charge les frais effectifs afférents à un abonnement annuel CFF demi-tarif pour Madame B.R.________, à partir du 23 août 2024 et tant que la mère habite à [...];</w:t>
      </w:r>
    </w:p>
    <w:p>
      <w:r>
        <w:rPr>
          <w:b/>
        </w:rPr>
        <w:t>E. 16</w:t>
      </w:r>
    </w:p>
    <w:p>
      <w:r>
        <w:t>Donner acte à Monsieur A.R.________ de son engagement à prendre en charge pour la mère les frais effectifs des trajets effectués en train avec un abonnement demi-tarif, nécessaires pour l’exercice de son droit de visite, à concurrence de CHF 220.- par mois maximum, à partir du 23 août 2024 et tant que la mère habite à [...]:</w:t>
      </w:r>
    </w:p>
    <w:p>
      <w:r>
        <w:rPr>
          <w:b/>
        </w:rPr>
        <w:t>E. 17</w:t>
      </w:r>
    </w:p>
    <w:p>
      <w:r>
        <w:t>Dire que, sous réserve des autres conclusions des présentes, aucune contribution d’entretien entre époux n’est due ;</w:t>
      </w:r>
    </w:p>
    <w:p>
      <w:r>
        <w:rPr>
          <w:b/>
        </w:rPr>
        <w:t>E. 18</w:t>
      </w:r>
    </w:p>
    <w:p>
      <w:r>
        <w:t>Avec suite de frais judiciaires et dépens ;</w:t>
      </w:r>
    </w:p>
    <w:p>
      <w:r>
        <w:rPr>
          <w:b/>
        </w:rPr>
        <w:t>E. 19</w:t>
      </w:r>
    </w:p>
    <w:p>
      <w:r>
        <w:t>Débouter Madame B.R.________ et tous tiers de toutes autres ou contraires conclusions. » b) Dans sa réponse du 14 juin 2024, l’intimée a conclu, avec suite de frais et dépens, au rejet de la requête de l’appelant. Subsidiairement, elle a pris les conclusions suivantes : « I. Le lieu de vie de l’enfant C.R.________, né le [...] 2016, est maintenu auprès de B.R.________, née [...], à qui la garde reste confiée. II. A.R.________ bénéfice sur son fils C.R.________, né le [...] 2016, d’un libre et large droit de visite à exercer d’entente entre les parties et qu’à défaut, il aura son fils auprès de lui une semaine sur deux, le dimanche de 10 heures à 18 heures, à charge pour la mère d’amener l’enfant auprès du père, le matin, et au père de ramener l’enfant auprès de sa mère, le soir, ainsi que durant la moitié des vacances scolaires et des jours fériés. III. A.R.________ contribuera à l’entretien de B.R.________, née [...], par le régulier versement en mains de celle-ci, le premier de chaque mois d’un montant de 1'000 (mille francs), dès et y compris le 1er juin 2024 ; IV. A.R.________ contribuera à l’entretien de l’enfant C.R.________, né le [...] 2016, par le régulier versement d’une contribution d’entretien mensuelle en mains de B.R.________, née [...], le premier de chaque mois d’un montant de 4'550 fr. (quatre mille cinq cent cinquante francs), allocations familiales en sus, dès et y compris le 1er mars 2024 ; V. A.R.________ contribuera à l’entretien de B.R.________, née [...], par le régulier versement en mains de celle-ci, le premier de chaque mois d’un montant d’au moins 1'160 fr.</w:t>
      </w:r>
    </w:p>
    <w:p>
      <w:r>
        <w:t>- 8 - (mille cent soixante francs), dès et y compris le 1er mars 2024. » c) L’appelant s’est déterminé le 24 juin 2024 sur le mémoire de réponse de l’intimée du 14 juin 2024. d) Lors de l’audience de mesures protectrices de l’union conjugale du 27 juin 2024, les parties ont été entendues et ont signé une convention relative à la prise en charge de C.R.________ durant les vacances d’été 2024, ratifiée ensuite pour valoir ordonnance partielle de mesures protectrices de l’union conjugale.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