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JS23.008223 vom 22. Oktober 2025</w:t>
      </w:r>
    </w:p>
    <w:p>
      <w:r>
        <w:t>VD Tribunal cantonal, 2025-10-22, FR</w:t>
      </w:r>
    </w:p>
    <w:p>
      <w:r>
        <w:rPr>
          <w:b/>
        </w:rPr>
        <w:t xml:space="preserve">Quelle: </w:t>
      </w:r>
      <w:r>
        <w:t>https://mcp.opencaselaw.ch/entscheid/vd_gerichte_JS23.008223</w:t>
      </w:r>
    </w:p>
    <w:p>
      <w:r>
        <w:t>FR: VD_GERICHTE JS23.008223 du 22 octobre 2025</w:t>
      </w:r>
    </w:p>
    <w:p>
      <w:r>
        <w:t>IT: VD_GERICHTE JS23.008223 del 22 ottobre 2025</w:t>
      </w:r>
    </w:p>
    <w:p>
      <w:pPr>
        <w:pStyle w:val="Heading2"/>
      </w:pPr>
      <w:r>
        <w:t>Erwägungen</w:t>
      </w:r>
    </w:p>
    <w:p>
      <w:r>
        <w:rPr>
          <w:b/>
        </w:rPr>
        <w:t>E. 1</w:t>
      </w:r>
    </w:p>
    <w:p>
      <w:r>
        <w:t>R.________ et J.________ se sont mariés le [...] 1999. Deux enfants sont issus de cette union : - [...], née le [...] 2006 ; - [...], né le [...] 2009.</w:t>
      </w:r>
    </w:p>
    <w:p>
      <w:r>
        <w:rPr>
          <w:b/>
        </w:rPr>
        <w:t>E. 2</w:t>
      </w:r>
    </w:p>
    <w:p>
      <w:r>
        <w:t>Le 25 mars 2025, J.________ a déposé auprès du Tribunal civil de La Côte une demande unilatérale de divorce. Le 3 octobre 2025, J.________ a déposé une requête de mesures superprovisionnelles par-devant la Présidente du Tribunal civil de l’arrondissement de La Côte (ci-après : la présidente ou le premier juge). Par décision du 9 octobre 2025, la présidente a dit que les conclusions prises à titre superprovisionnelles par J.________ dans sa requête datée du 3 octobre 2025 étaient rejetées. Par courrier du 17 octobre 2025, J.________ (ci-après : le recourant) a interjeté un recours contre cette décision en concluant en substance à son annulation et à ce que les contributions dues pour l’entretien des siens soient suspendues. Il a en outre demandé l’octroi de l’effet suspensif au recours.</w:t>
      </w:r>
    </w:p>
    <w:p>
      <w:r>
        <w:rPr>
          <w:b/>
        </w:rPr>
        <w:t>E. 3.1.1</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w:t>
      </w:r>
    </w:p>
    <w:p>
      <w:r>
        <w:t>- 3 -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 d’une nouvelle autorité (ATF 139 III 86 consid. 1.1.1 ; ATF 137 III 417 consid. 1.3 ; TF 5A_551/2024 du 3 septembre 2024 consid. 5).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w:t>
      </w:r>
    </w:p>
    <w:p>
      <w:r>
        <w:rPr>
          <w:b/>
        </w:rPr>
        <w:t>E. 3.1.2</w:t>
      </w:r>
    </w:p>
    <w:p>
      <w:r>
        <w:t>Lorsqu’une partie interjette par erreur un autre type de recours que celui ouvert par la loi, le recours interjeté est irrecevable. Dans certaines circonstances, il peut y avoir conversion : l’autorité de deuxième instance traite l’acte interjeté comme si la partie avait déclaré interjeter la voie de droit prévue par la loi, si les conditions de recevabilité de celle‑ci sont pour le surplus remplies. Cette conversion résulte de l’application du principe de l’interdiction du formalisme excessif (art. 29 al.</w:t>
      </w:r>
    </w:p>
    <w:p>
      <w:r>
        <w:t>- 4 - 1 Cst. [Constitution fédérale de la Confédération suisse du 18 avril 1999 ; RS 101] ; TF 5A_221/2018 du 4 juin 2018 consid. 3.3.1 et la réf. citée).</w:t>
      </w:r>
    </w:p>
    <w:p>
      <w:r>
        <w:rPr>
          <w:b/>
        </w:rPr>
        <w:t>E. 3.2</w:t>
      </w:r>
    </w:p>
    <w:p>
      <w:r>
        <w:t>En l’espèce, aucune voie de droit n’étant prévue par le CPC contre les décisions de mesures superprovisionnelles, le recours formé par le recourant doit être déclaré irrecevable. Au demeurant, aucune exception telle que mentionnée ci-dessus n’est remplie dans le présent cas, le recourant n’invoquant aucune perte d’un droit qui justifierait un prononcé immédiat. Par ailleurs, le recourant aurait dû déposer un appel contre l’ordonnance entreprise, de sorte que le recours est irrecevable également à cet égard. Il est précisé qu’au vu de l’irrecevabilité patente de l’acte, une conversion de celui-ci n’aurait pas changé l’issue de la cause. Enfin, il convient de souligner que l’art. 265 al. 4 CPC invoqué par le recourant est inexistant si bien que les griefs de celui-ci n’ont au demeurant pas de fondement légal.</w:t>
      </w:r>
    </w:p>
    <w:p>
      <w:r>
        <w:rPr>
          <w:b/>
        </w:rPr>
        <w:t>E. 4</w:t>
      </w:r>
    </w:p>
    <w:p>
      <w:r>
        <w:t>Au vu de ce qui précède, le recours doit être déclaré irrecevable en application de l’art. 322 al. 1 in fine CPC. Partant, la requête d’effet suspensif contenue dans l’acte de recours est sans objet. Il ne sera pas perçu de frais judiciaires (art. 11 TFJC [tarif des frais judiciaires civils du 28 septembre 2010 ; BLV 270.11.5]). Il n’y a pas lieu d’allouer de dépens, l’intimée n’ayant pas été invitée à se déterminer.</w:t>
      </w:r>
    </w:p>
    <w:p>
      <w:r>
        <w:t>- 5 - Par ces motifs, la Chambre des recours civile du Tribunal cantonal, en application de l'art. 322 al. 1 CPC, prononce : I. Le recours est irrecevable. II. La requête d’effet suspensif est sans objet. III. L’arrêt, rendu sans frais, est exécutoire. Le vice-président : La greffière : Du L'arrêt qui précède, dont la rédaction a été approuvée à huis clos, est notifié à : - M. J.________ (personnellement), - Mme R.________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