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JS23.004435 vom 3. Oktober 2023</w:t>
      </w:r>
    </w:p>
    <w:p>
      <w:r>
        <w:t>VD Tribunal cantonal, 2023-10-03, FR</w:t>
      </w:r>
    </w:p>
    <w:p>
      <w:r>
        <w:rPr>
          <w:b/>
        </w:rPr>
        <w:t xml:space="preserve">Quelle: </w:t>
      </w:r>
      <w:r>
        <w:t>https://mcp.opencaselaw.ch/entscheid/vd_gerichte_JS23.004435</w:t>
      </w:r>
    </w:p>
    <w:p>
      <w:r>
        <w:t>FR: VD_GERICHTE JS23.004435 du 3 octobre 2023</w:t>
      </w:r>
    </w:p>
    <w:p>
      <w:r>
        <w:t>IT: VD_GERICHTE JS23.004435 del 3 ottobre 2023</w:t>
      </w:r>
    </w:p>
    <w:p>
      <w:pPr>
        <w:pStyle w:val="Heading2"/>
      </w:pPr>
      <w:r>
        <w:t>Erwägungen</w:t>
      </w:r>
    </w:p>
    <w:p>
      <w:r>
        <w:rPr>
          <w:b/>
        </w:rPr>
        <w:t>E. 14</w:t>
      </w:r>
    </w:p>
    <w:p>
      <w:r>
        <w:t>janvier 2019 consid. 5.3 ; TF 5A_760/2016 du 5 septembre 2017 consid. 4.1).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 L’interdiction de la reformatio in pejus ne s’applique pas dans les affaires régies par la maxime d’office (ATF 137 III 617 consid. 4.5.2 et 4.5.3, JdT 2014 II 187 ; TF 5A_926/2019 du 30 juin 2020 consid. 4.4.1 ; TF 5A_106/2019 du 16 mars 2020 consid. 5.5). 3. 3.1 Dans un premier moyen, l’appelant reproche à la première juge de ne pas avoir ordonné une garde alternée. Il conteste à cet égard le fait qu’il n’existerait pas d’élément nouveau justifiant de revenir sur la garde exclusive attribuée à l’intimée, invoquant que l’un des enfants du couple aurait manifesté en janvier des signes de dépression et pleurait en permanence, qu’à plusieurs reprises – parfois pour des motifs futiles –, l’intimée aurait laissé ses enfants à une voisine dont l’appelant savait qu’elle ne présentait pas toutes les garanties de sécurité, que l’intimée aurait menacé à plusieurs reprises d’empoisonner son mari et ses enfants</w:t>
      </w:r>
    </w:p>
    <w:p>
      <w:r>
        <w:t>- 14 - ou d’emmener ses enfants à l’étranger, que les enfants seraient partis en vacances avec leur oncle qui avait mordu à plusieurs reprises Y.________ et qu’à deux reprises, la dernière fois au mois de mai, les enfants qui étaient en visite chez leur père auraient refusé de regagner le domicile de leur mère. L’appelant soutient que ces éléments auraient dû figurer dans le rapport de la DGEJ, à qui il reproche également de ne pas avoir entendu les enfants sans la présence de leur mère. Enfin, il relève également que l’intimée ne l’aurait jamais informé lorsqu’un enfant était malade et manquait l’école près d’une semaine. Sur la base de ces éléments, l’appelant soutient que la solution consistant à attribuer la garde des enfants exclusivement à leur mère ne serait pas conforme à l’intérêt des enfants et que seule une garde alternée lui permettrait de conserver des liens avec ses enfants et de s’assurer de leur bien-être. 3.2 3.2.1 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TF 5A_403/2016 du 24 février 2017 consid. 3.1; TF 5A_426/2016 du 2 novembre 2016 consid. 3.1 et la référence). Le fait revêt un caractère nouveau lorsqu'il n'a pas été pris en considération pour fixer la contribution d'entretien dans le jugement précédent ; il n'est donc pas décisif qu'il ait été imprévisible à ce moment- là (TF 5A_911/2016 du 28 avril 2017 consid. 3.3.1 et les références). On</w:t>
      </w:r>
    </w:p>
    <w:p>
      <w:r>
        <w:t>- 15 - présume néanmoins que les aliments ont été fixés en tenant compte des modifications prévisibles, soit celles qui, bien que futures, sont déjà certaines ou fort probables (TF 5A_911/2016 du 28 avril 2017 consid. 3.3.1 et les références). En d'autres termes, ce qui est déterminant, ce n'est pas la prévisibilité des circonstances nouvelles, mais exclusivement le fait que la contribution d'entretien ait été fixée sans tenir compte de ces circonstances futures (ATF 141 III 376 consid. 3.3.1; ATF 131 III 189 consid. 2.7.4; ATF 128 III 305 consid. 5b; TF 5A_373/2015 du 2 juin 2016 consid. 4.3.1; TF 5A_842/2015 du 26 mai 2016 consid. 2.4.1 non publié à l'ATF 142 III 518).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5A_403/2016 précité et les références), car la procédure de modification n'a pas pour but de corriger le premier jugement, mais de l'adapter aux circonstances nouvelles (ATF 137 III 604 consid. 4.1.1; 131 III 189 précité ; 120 II 177 consid. 3a, 285 consid. 4b). 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w:t>
      </w:r>
    </w:p>
    <w:p>
      <w:r>
        <w:t>- 16 -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est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3.2.2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w:t>
      </w:r>
    </w:p>
    <w:p>
      <w:r>
        <w:t>- 17 -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 682/2020 du 21 juin 2021 consid. 2.1 ; TF 5A_793/2020 du 24 février 2021 consid. 5.1.2 ; TF 5A_260/2019 du 5 novembre 2019 consid. 3.1). 3.3 En l’espèce, en ce qui concerne l’état dépressif d’Q.________, le rapport – en se fondant sur les déclarations de la maîtresse d’école – relève effectivement que l’enfant Q.________ a eu un passage difficile en décembre 2022, mais que la situation s’était normalisée dès la reprise en janvier. Un tel élément n’est pas propre en lui-même à justifier que la garde soit revue, aucun élément ne rendant vraisemblable que de tels symptômes perdurent, encore moins ne soient liés à la question de la garde. Comme l’a relevé la DGEJ, il appartient d’ailleurs notamment à l’appelant, s’il constate de tels problèmes, de rechercher pour son enfant une aide, ce qu’il ne semble avoir fait ni à l’époque, ni aujourd’hui. Quant au fait que l’intimée confierait occasionnellement les enfants à une voisine, il n’est pas rendu vraisemblable, pas plus le fait que cette personne ne présenterait pas toutes les garanties de sécurité, l’appelant n’expliquant pas concrètement les faits à l’origine de son reproche à cet égard.</w:t>
      </w:r>
    </w:p>
    <w:p>
      <w:r>
        <w:t>- 18 - S’agissant ensuite du comportement du frère de l’intimée envers Y.________, la DGEJ a pris des mesures qui apparaissent en l’état adéquates. On ne voit d’ailleurs pas en quoi ce fait constituerait un fait nouveau justifiant l’instauration d’une garde alternée. Enfin, le fait pour les enfants d’avoir refusé de regagner le domicile de leur mère à deux reprises en mai n’est pas non plus un élément susceptible de remettre en cause le système de garde, étant précisé qu’il s’agit d’enfants qui sont encore susceptibles d’avoir des difficultés dans les transitions au vu de leur âge (entre deux et huit ans). Comme l’indique le rapport, les deux aînés ont d’ailleurs été entendus seuls par la DGEJ – contrairement à ce que soutient l’appelant – et se sentent bien. En définitive, les éléments invoqués par l’appelant sont peu étayés, contredisent à certains égard le rapport de la DGEJ et ne constituent surtout pas des éléments nouveaux susceptibles de justifier que le système actuel de garde soit revu. Ainsi, le refus d’entrer en matière sur la conclusion de l’appelant sur ce point ne prête pas le flanc à la critique. Au demeurant, les tensions importantes qui existent entre les parents, telles que constatés dans le rapport de la DGEJ, ne plaident pas, à tout le moins en l’état, en faveur d’une garde alternée, un travail sur la coparentalité devant être entrepris avant toute modification de la garde. 4. 4.1 L’appelant conteste ensuite l’ordonnance en tant qu’elle lui impute un revenu hypothétique. Il soutient qu’il avait été très affecté par la situation de ses enfants et par les fausses accusations de violence portées à son encontre par l’intimée, que son état psychique ne lui permettait plus de poursuivre son activité d’aide-infirmier, cela d’autant qu’il travaillait de nuit au sein de son précédent emploi, que c’était son employeur qui avait résilié son contrat de travail et qu’il n’était pas envisageable qu’il retrouve rapidement un emploi.</w:t>
      </w:r>
    </w:p>
    <w:p>
      <w:r>
        <w:t>- 19 - 4.2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(ATF 143 III 233 consid. 3.2 ; ATF 137 III 102 consid. 4.2.2.2).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il s'agit-là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w:t>
      </w:r>
    </w:p>
    <w:p>
      <w:r>
        <w:t>- 20 - l'expérience professionnelle, la flexibilité sur les plans personnel et géographique, la situation sur le marché du travail, etc. (ATF 147 III 308 consid. 5.6, JdT 2022 II 143 ; TF 5A_645/2020 du 19 mai 2021 consid. 5.2.1; TF 5A_754/2020 du 10 août 2021 consid. 4.3.2 ; TF 5A_1026/2021 du 27 janvier 2022 consid. 4.1 ; TF 5A_944/2021 du 19 mai 2022 consid. 4.1 ; TF 5A_332/2021 du 5 juillet 2022 consid. 3.1 ; TF 5A_489/2022 du 18 janvier 2023 consid. 5.2.2). 4.3 En premier lieu, on remarquera que l'appelant se contredit puisque dans la partie où il réclame la garde alternée, il demande que les frais des enfants soient assumés par moitié par chaque parent. Or, vu l'entretien convenable des enfants fixé à hauteur de 1'449 fr. 85 pour Q.________, 1'456 fr. 20 pour Y.________ et 1'424 fr. 65 pour N.________, cela impliquerait pour lui qu'il assume des frais beaucoup plus importants que la quotité des contributions d'entretien auxquels il est soumis. Cela n'a pas de sens. Pour le surplus, l’appelant critique uniquement le principe de l’imputation d’un revenu hypothétique en invoquant des circonstances psychologiques durant son précédent travail, indiquant qu’actuellement il touche le RI et qu’il n’est « pas envisageable qu’il retrouve rapidement un emploi ». L’appelant ne se réfère à aucun moyen de preuve rendant vraisemblables ses dires et une éventuelle incapacité de reprendre un emploi tel que le précédent. Or rien ne le laisse à penser. Dans ces conditions son moyen, dût-il être considéré comme recevable vu les exigences en matière de motivation, ne pourrait qu’être rejeté. 5. 5.1 Au vu de ce qui précède, l’appel doit être rejeté. 5.2 L’appel étant d’emblée dénué de chances de succès au sens de l’art. 117 let. b CPC, la requête d’assistance judiciaire de l’appelant ne peut qu’être rejetée.</w:t>
      </w:r>
    </w:p>
    <w:p>
      <w:r>
        <w:t>- 21 - 5.3 Vu l’issue de l’appel, les frais judicaires de deuxième instance, arrêtés à 600 fr. (art. 65 al. 2 TFJC [Tarif des frais judiciaires civils, BLV 270.11.5), seront mis à la charge de l’appelant. 5.4 Il ne sera pas alloué de dépens, l’intimée n’ayant pas été invitée à se déterminer sur l’appel. 5.5 Conformément à l’art. 15 LRAPA (loi sur le recouvrement et les avances sur pensions alimentaires du 10 février 2004 ; BLV 850.36), une copie du présent arrêt sera transmise au BRAPA. Par ces motifs, la juge unique de la Cour d’appel civile prononce : I. L’appel est rejeté. II. L’ordonnance est confirmée. III. La requête d’assistance judiciaire de l’appelant I.________ est rejetée. IV. Les frais judiciaires de deuxième instance, arrêtés à 600 fr., sont mis à la charge de l’appelant I.________. V. L’arrêt est exécutoire. La juge unique : La greffière :</w:t>
      </w:r>
    </w:p>
    <w:p>
      <w:r>
        <w:t>- 22 - Du Le présent arrêt, dont la rédaction a été approuvée à huis clos, est notifié en expédition complète à : - Me Laurent Gillard (pour I.________), - Me Elise Deillon-Antenen (pour E.________), et communiqué, par l'envoi de photocopies, à : - Mme la Vice-présidente du Tribunal civil de l’arrondissement de La Broye et du Nord vaudois. - BRAPA (avec la réf. 602544461).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