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JS22.051758 vom 13. April 2023</w:t>
      </w:r>
    </w:p>
    <w:p>
      <w:r>
        <w:t>VD Tribunal cantonal, 2023-04-13, FR</w:t>
      </w:r>
    </w:p>
    <w:p>
      <w:r>
        <w:rPr>
          <w:b/>
        </w:rPr>
        <w:t xml:space="preserve">Quelle: </w:t>
      </w:r>
      <w:r>
        <w:t>https://mcp.opencaselaw.ch/entscheid/vd_gerichte_JS22.051758</w:t>
      </w:r>
    </w:p>
    <w:p>
      <w:r>
        <w:t>FR: VD_GERICHTE JS22.051758 du 13 avril 2023</w:t>
      </w:r>
    </w:p>
    <w:p>
      <w:r>
        <w:t>IT: VD_GERICHTE JS22.051758 del 13 aprile 2023</w:t>
      </w:r>
    </w:p>
    <w:p>
      <w:pPr>
        <w:pStyle w:val="Heading2"/>
      </w:pPr>
      <w:r>
        <w:t>Erwägungen</w:t>
      </w:r>
    </w:p>
    <w:p>
      <w:r>
        <w:rPr>
          <w:b/>
        </w:rPr>
        <w:t>E. 1</w:t>
      </w:r>
    </w:p>
    <w:p>
      <w:r>
        <w:t>Les époux H.________ le [...] 1974, et P.________, né le [...] 1987, se sont mariés le [...] 2017 à [...]. L’enfant G.________, née le [...] 2012, est issue de leur union.</w:t>
      </w:r>
    </w:p>
    <w:p>
      <w:r>
        <w:rPr>
          <w:b/>
        </w:rPr>
        <w:t>E. 2</w:t>
      </w:r>
    </w:p>
    <w:p>
      <w:r>
        <w:t>Par ordonnance de mesures protectrices de l’union conjugale du 17 mars 2023, la Présidente du Tribunal civil de l’arrondissement de la Broye et du Nord vaudois (ci-après : le premier juge) a notamment rappelé la convention partielle signée par les parties à l’audience du 9 février 2023, ratifiée pour valoir ordonnance partielle de mesures protectrices de l’union conjugale réglant notamment la séparation des parties, la garde sur l’enfant G.________ et les contributions d’entretien versées par P.________ en faveur de sa fille (I), a astreint P.________ à contribuer à l’entretien de H.________ par le régulier versement, d’avance le premier de chaque mois, d’une pension mensuelle de 510 fr., dès le 15 août 2022 (II), a enjoint H.________ à restituer à la société [...] Sàrl les véhicules Tesla [...] immatriculée [...] et Mercedes Benz [...] immatriculée [...] dans un délai de 10 jours dès notification de l’ordonnance (III), a rendu l’ordonnance sans frais judiciaires ni dépens (IV), a rejeté toutes autres ou plus amples conclusions (V), a déclaré l’ordonnance immédiatement exécutoire nonobstant appel (VI).</w:t>
      </w:r>
    </w:p>
    <w:p>
      <w:r>
        <w:rPr>
          <w:b/>
        </w:rPr>
        <w:t>E. 3</w:t>
      </w:r>
    </w:p>
    <w:p>
      <w:r>
        <w:t>Par acte du 23 mars 2023, H.________ (ci-après : l’appelante) a contesté cette ordonnance.</w:t>
      </w:r>
    </w:p>
    <w:p>
      <w:r>
        <w:rPr>
          <w:b/>
        </w:rPr>
        <w:t>E. 4.1</w:t>
      </w:r>
    </w:p>
    <w:p>
      <w:r>
        <w:t>La voie de l’appel est ouverte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w:t>
      </w:r>
    </w:p>
    <w:p>
      <w:r>
        <w:t>- 3 -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4.2</w:t>
      </w:r>
    </w:p>
    <w:p>
      <w:r>
        <w:t>L'art. 311 al. 1 CPC exige que l'appel soit écrit et motivé. Certes, cette disposition ne parle que d'une motivation, mais celle-ci doit précisément permettre à l’appelant d'étayer ses conclusions et suppose dès lors celles-ci.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Si nécessaire et à l'instar de toute déclaration en procédure, les conclusions doivent être interprétées de bonne foi, en particulier sur la base de la motivation qui les accompagne (ATF 137 III 617 consid. 6.2;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 ATF 133 II 409 consid. 1.4.2 ; TF 5A_164/2019 précité consid. 4.3). Selon la jurisprudence, pour satisfaire à son obligation de motivation de l'appel prévue par l'art. 311 al. 1 CPC, l'appelant doit démontrer le caractère erroné de la motivation de la décision attaquée et son argumentation doit être suffisamment explicite pour que l'instance</w:t>
      </w:r>
    </w:p>
    <w:p>
      <w:r>
        <w:t>- 4 -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 TF 5A_577/2020 précité consid. 6).</w:t>
      </w:r>
    </w:p>
    <w:p>
      <w:r>
        <w:t>- 5 -</w:t>
      </w:r>
    </w:p>
    <w:p>
      <w:r>
        <w:rPr>
          <w:b/>
        </w:rPr>
        <w:t>E. 4.3</w:t>
      </w:r>
    </w:p>
    <w:p>
      <w:r>
        <w:t>En l’espèce, l’acte déposé par l’appelante ne satisfait pas aux prescriptions de forme découlant de l’art. 311 al. 1 CPC. L’écriture ne comporte aucune conclusion et sa lecture ne permet pas de comprendre ce que demande l’appelante. On ne distingue du reste aucun grief précis contre l’ordonnance entreprise, son auteure se contentant d’énumérer des montants afférents à de prétendues charges sans explication ni pièce justificative à l’appui de ces chiffres. L’appelante n’établit en définitive pas en quoi la décision entreprise serait erronée. Faute pour l’acte d’être motivé de façon à permettre l’examen de son bien-fondé et étant dépourvu de conclusions, il se révèle irrecevable.</w:t>
      </w:r>
    </w:p>
    <w:p>
      <w:r>
        <w:rPr>
          <w:b/>
        </w:rPr>
        <w:t>E. 5.1</w:t>
      </w:r>
    </w:p>
    <w:p>
      <w:r>
        <w:t>Il résulte de ce qui précède que l’appel doit être déclaré irrecevable selon le mode procédural de l’art. 312 al. 1 in fine CPC.</w:t>
      </w:r>
    </w:p>
    <w:p>
      <w:r>
        <w:rPr>
          <w:b/>
        </w:rPr>
        <w:t>E. 5.2</w:t>
      </w:r>
    </w:p>
    <w:p>
      <w:r>
        <w:t>L’arrêt peut exceptionnellement être rendu sans frais judiciaires de deuxième instance (art. 11 TFJC [tarif des frais judiciaires civils du 28 septembre 2010 ; BLV 270.11.5]).</w:t>
      </w:r>
    </w:p>
    <w:p>
      <w:r>
        <w:rPr>
          <w:b/>
        </w:rPr>
        <w:t>E. 5.3</w:t>
      </w:r>
    </w:p>
    <w:p>
      <w:r>
        <w:t>L’intimé n’ayant pas été invité à procéder, il n’y a pas lieu à l’allocation de dépens de deuxième instance. Par ces motifs, la juge unique de la Cour d’appel civile prononce : I. L’appel est irrecevable. II. L’arrêt, rendu sans frais judiciaires de deuxième instance, est exécutoire.</w:t>
      </w:r>
    </w:p>
    <w:p>
      <w:r>
        <w:t>- 6 - La juge unique : La greffière : Du Le présent arrêt, dont la rédaction a été approuvée à huis clos, est notifié à : - Mme H.________, - Me Manuela Ryter Godel (pour P.________),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