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JS22.042804 vom 29. Juni 2023</w:t>
      </w:r>
    </w:p>
    <w:p>
      <w:r>
        <w:t>VD Tribunal cantonal, 2023-06-29, FR</w:t>
      </w:r>
    </w:p>
    <w:p>
      <w:r>
        <w:rPr>
          <w:b/>
        </w:rPr>
        <w:t xml:space="preserve">Quelle: </w:t>
      </w:r>
      <w:r>
        <w:t>https://mcp.opencaselaw.ch/entscheid/vd_gerichte_JS22.042804</w:t>
      </w:r>
    </w:p>
    <w:p>
      <w:r>
        <w:t>FR: VD_GERICHTE JS22.042804 du 29 juin 2023</w:t>
      </w:r>
    </w:p>
    <w:p>
      <w:r>
        <w:t>IT: VD_GERICHTE JS22.042804 del 29 giugno 2023</w:t>
      </w:r>
    </w:p>
    <w:p>
      <w:pPr>
        <w:pStyle w:val="Heading2"/>
      </w:pPr>
      <w:r>
        <w:t>Erwägungen</w:t>
      </w:r>
    </w:p>
    <w:p>
      <w:r>
        <w:rPr>
          <w:b/>
        </w:rPr>
        <w:t>E. 5.1</w:t>
      </w:r>
    </w:p>
    <w:p>
      <w:r>
        <w:t>L’intimée sollicite une provisio ad litem pour la deuxième instance. Rappelant qu’en mesures protectrices le juge statue sur la simple vraisemblance, elle fait valoir qu’il serait hautement vraisemblable, au vu des revenus de l’appelant, du budget qu’il a annoncé et des montants qu’il versait sur le compte joint des parties, qu’il ait réussi à se constituer une épargne.</w:t>
      </w:r>
    </w:p>
    <w:p>
      <w:r>
        <w:t>- 32 -</w:t>
      </w:r>
    </w:p>
    <w:p>
      <w:r>
        <w:rPr>
          <w:b/>
        </w:rPr>
        <w:t>E. 5.2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 TF 5A_248/2019 du</w:t>
      </w:r>
    </w:p>
    <w:p>
      <w:r>
        <w:rPr>
          <w:b/>
        </w:rPr>
        <w:t>E. 5.3</w:t>
      </w:r>
    </w:p>
    <w:p>
      <w:r>
        <w:t>A l’appui de la réponse qu’elle a déposé sur l’appel, l’intimée a sollicité la production des relevés bancaires et/ou postaux, en Suisse et à l’étranger, de l’appelant. Toutefois, faute d’avoir précisé en temps utile les établissements bancaires dans lesquels il aurait fallu ordonner la production de toute pièce relative aux avoirs bancaires de l’appelant, respectivement d’avoir fourni une quelconque indication quant à la durée à prendre en compte ou aux opérations concernées, la production de cette pièce a été refusée. Cela vaut a fortiori que ces pièces n’ont pas été requises en première instance et qu’une conclusion en provisio ad litem pour les opérations devant la première instance a été formulée dans la réponse sur l’appel avant d’être retirée sur interpellation de la juge unique au vu de la teneur de l’art. 314 al. 2 CPC. A l’audience d’appel du 3 mai 2023, l’appelant a été interrogé sur l’épargne éventuellement constituée durant le mariage et a fait état d’une fortune placée en bourse à hauteur de 50'000 fr., héritée. Ce montant n’est pas si important qu’il justifie l’octroi d’une provisio ad litem pour la procédure de deuxième instance. Au surplus, rien ne permet de penser qu’il serait « liquide », eu égard aux soubresauts actuels de la bourse.</w:t>
      </w:r>
    </w:p>
    <w:p>
      <w:r>
        <w:t>- 33 - Cette requête sera donc rejetée, faute de tout élément allant dans le sens d’une fortune justifiant l’allocation d’une provisio ad litem. 6. 6.1 En conclusion, l’appel doit être rejeté et l’ordonnance de mesures protectrices de l’union conjugale confirmée. 6.2 Dès lors que l’appelant voit ses conclusions entièrement rejetées et que l’intimée succombe sur l’unique question de l’octroi d’une provisio ad litem pour la procédure d’appel, les frais judiciaires de deuxième instance, arrêtés à 600 fr. (art. 65 al. 2 TFJC [tarif des frais judiciaires civils du 28 septembre 2010 ; BLV 270.11.5]), seront mis à la charge de l’appelant à raison de 5/6 (500 fr.) et à la charge de l’intimée à raison de 1/6 (100 fr.). Dans la mesure où l’intimée plaide au bénéfice de l’assistance judiciaire, sa part de frais judiciaires sera provisoirement supportée par l’Etat (art. 122 al. 1 let. b CPC). 6.3 6.3.1 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w:t>
      </w:r>
    </w:p>
    <w:p>
      <w:r>
        <w:t>- 34 -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6.3.2 Me Julie de Haynin a annoncé avoir consacré 22 h 15 à la procédure d’appel. Pour un téléphone à la cliente, la réception d’un courriel et de pièces le 6 février 2023, elle a décompté un temps de 1 h 40. Cela paraît excessif, un temps de 30 minutes apparaissant suffisant pour un entretien téléphonique avec la cliente, dès lors que l’unique point contesté en appel porte sur la fixation de la contribution d’entretien en sa faveur ; quant au temps nécessaire à la réception d’un courriel et de pièces, il ne saurait excéder 10 minutes. Le temps sera réduit en conséquence à 0 h. 40 pour l’ensemble des activités précitées. Par ailleurs, l’opération « courrier tribunal » le 14 mars 2023, par 0 h 30, sera retranchée, la teneur de ce bref courrier ne justifiant nullement une telle durée. En outre, l’avocate d’office indique avoir consacré 1 h 45 le 26 avril 2023 pour « travail sur le dossier, préparation plaidoirie et audience » et 3 h 00 le 2 mai 2023 pour</w:t>
      </w:r>
    </w:p>
    <w:p>
      <w:r>
        <w:t>- 35 - « travail sur le dossier, rdv cliente, préparation audience », soit 4 h 45 au total. Vu sa connaissance de la cause, un tel temps apparaît exagéré, 1 h 45 s’avérant à ce stade plus que suffisante pour préparer l’audience et s’entretenir avec la cliente. Sur ce point, le décompte sera ainsi réduit de 3 h 00. Enfin, elle a décompté le 3 mai 2023 un temps de 4 h 00 pour « déplacement, audience, rdv cliente ». La vacation ne saurait être considérée comme temps de travail ; elle est toutefois indemnisée à hauteur de 120 fr. (art 3bis al. 3 RAJ). Quant à l’audience, elle a duré 2 h 45. On admettra 1 h 00 pour le rendez-vous avec la cliente, de sorte que c’est au final un temps de 3 h 45 qui sera retenu pour ce poste du décompte, celui-ci étant ainsi réduit de 15 minutes. Il s'ensuit qu’une indemnité correspondant à 17 heures et 30 minutes (22 h 15 – 1 h 00 – 0 h 30 – 3 h 00 – 0 h 15 ) de travail sera retenue, ce qui, au tarif horaire de 180 fr., correspond à une indemnité de 3'150 fr., montant auquel s'ajoute le forfait de vacation par 120 fr., les débours par 63 fr. (2 %, art. 3bis al. 3 RAJ) et la TVA (7.7 %) sur le tout par 256 fr. 65., soit un montant total arrondi à 3'590 francs. 6.3.3 La bénéficiaire de l’assistance judiciaire est tenue au remboursement des frais judiciaires de deuxième instance et de l’indemnité à son conseil d’office mis provisoirement à la charge de l’Etat, dès qu’elle sera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 6.4 Vu l’issue de la procédure d’appel et après compensation (5/6 – 1/6 = 4/6), l’appelant versera à l’intimé un montant de 4'000 fr. à titre de dépens réduits de deuxième instance (art. 7 TDC [tarif des dépens matière civile du 23 novembre 2010 ; BLV 270.11.6]).</w:t>
      </w:r>
    </w:p>
    <w:p>
      <w:r>
        <w:t>- 36 - Par ces motifs, la Juge unique de la Cour d’appel civile prononce : I. L’appel est rejeté. II. La requête de l’intimée tendant à l’octroi d’une provisio ad litem pour la procédure d’appel est rejetée. III. Les frais judiciaires de deuxième instance, arrêtés à 600 fr., sont mis à la charge de l’appelant A.C.________ par 500 fr. (cinq cents francs) et à la charge de l’intimée B.C.________ par 100 fr. (cent francs), ce dernier montant étant provisoirement laissé à la charge de l’Etat. IV. L’indemnité de Me Julie de Haynin est arrêtée à 3'590 fr. (trois mille cinq cent nonante francs), TVA et débours compris. V. La bénéficiaire de l’assistance judiciaire est tenue au remboursement des frais judiciaires et de l’indemnité à son conseil d’office mis provisoirement à la charge de l’Etat, dès qu’elle sera en mesure de le faire (art. 123 CPC). VI. L’appelant A.C.________ versera à l’intimée B.C.________ la somme de 4'000 fr. (quatre mille francs) à titre de dépens réduits de deuxième instance. VII. L’arrêt est exécutoire. La juge unique : La greffière :</w:t>
      </w:r>
    </w:p>
    <w:p>
      <w:r>
        <w:t>- 37 - Du Le présent arrêt, dont la rédaction a été approuvée à huis clos, est notifié en expédition complète à : - Me Véronique Fontana (pour A.C.________), - Me Julie de Haynin (pour B.C.________,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décembre 2019 consid. 3.3.2). En général, la provisio ad litem ne doit pas être prélevée sur les revenus périodiques mais sur la fortune de l'époux débiteur, pour autant que ce dernier dispose des moyens financiers lui permettant d'assumer cette obligation (Juge unique CACI 22 janvier 2020/31 ; Juge unique CACI 16 décembre 2014/642bis).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