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JS22.042404 vom 20. Februar 2024</w:t>
      </w:r>
    </w:p>
    <w:p>
      <w:r>
        <w:t>VD Tribunal cantonal, 2024-02-20, FR</w:t>
      </w:r>
    </w:p>
    <w:p>
      <w:r>
        <w:rPr>
          <w:b/>
        </w:rPr>
        <w:t xml:space="preserve">Quelle: </w:t>
      </w:r>
      <w:r>
        <w:t>https://mcp.opencaselaw.ch/entscheid/vd_gerichte_JS22.042404</w:t>
      </w:r>
    </w:p>
    <w:p>
      <w:r>
        <w:t>FR: VD_GERICHTE JS22.042404 du 20 février 2024</w:t>
      </w:r>
    </w:p>
    <w:p>
      <w:r>
        <w:t>IT: VD_GERICHTE JS22.042404 del 20 febbraio 2024</w:t>
      </w:r>
    </w:p>
    <w:p>
      <w:pPr>
        <w:pStyle w:val="Heading2"/>
      </w:pPr>
      <w:r>
        <w:t>Erwägungen</w:t>
      </w:r>
    </w:p>
    <w:p>
      <w:r>
        <w:rPr>
          <w:b/>
        </w:rPr>
        <w:t>E. 3</w:t>
      </w:r>
    </w:p>
    <w:p>
      <w:r>
        <w:t>- 10 -</w:t>
      </w:r>
    </w:p>
    <w:p>
      <w:r>
        <w:rPr>
          <w:b/>
        </w:rPr>
        <w:t>E. 3.1</w:t>
      </w:r>
    </w:p>
    <w:p>
      <w:r>
        <w:t>L’appelant ne conteste pas que l’intimée n’a pas d’autre choix que de s’acquitter de la pension de l’EMS. Il reproche toutefois à la présidente d’avoir retenu, dans les charges de l’intimée arrêtées au minimum vital LP, l’intégralité de ses frais d’EMS alors que ceux-ci couvriraient en particulier les soins, les loisirs, les services de restauration et de blanchissage, la prise en charge du ménage, les « abonnements divers et impôts (téléphone, télévision, journaux, Serafe, etc.) » et « certainement les déplacements », soit autant de frais qui sont exclus du minimum vital LP. Ce faisant, la juge de première instance aurait consacré une inégalité de traitement entre les deux parties puisqu’elle aurait en réalité élargi les charges de l’intimée au minimum vital du droit de la famille tandis que celles de l’appelant ont été calculées sur la base du minimum vital LP strict.</w:t>
      </w:r>
    </w:p>
    <w:p>
      <w:r>
        <w:rPr>
          <w:b/>
        </w:rPr>
        <w:t>E. 3.2.1</w:t>
      </w:r>
    </w:p>
    <w:p>
      <w:r>
        <w:t>Même lorsque l’on ne peut plus sérieusement compter sur la reprise de la vie commune, l’art. 163 CC demeure la cause de l’obligation d’entretien réciproque des époux en mesures protectrices de l’union conjugale (ATF 137 III 385 consid. 3.1;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w:t>
      </w:r>
    </w:p>
    <w:p>
      <w:r>
        <w:rPr>
          <w:b/>
        </w:rPr>
        <w:t>E. 3.2.2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3.2.3</w:t>
      </w:r>
    </w:p>
    <w:p>
      <w:r>
        <w:t>Les postes à retenir dans la base mensuelle selon les lignes directrices pour le calcul du minimum vital LP selon l’art. 93 LP édictées par la Conférence des préposés aux poursuites et faillites de Suisse, comprennent notamment le loyer, les frais de chauffage et les charges</w:t>
      </w:r>
    </w:p>
    <w:p>
      <w:r>
        <w:t>- 11 -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3.2.4</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3.3</w:t>
      </w:r>
    </w:p>
    <w:p>
      <w:r>
        <w:t>Pour arrêter les « frais EMS » de l’intimée, la présidente s’est fondée sur le total des factures établies par l’établissement [...], sous déduction de l’allocation d’impotent par 613 francs. Contrairement à ce que soutient l’appelant, rien n’indique que les déplacements de l’intimée seraient compris dans les frais EMS calculés par la présidente. L’art. 3.3.6 du contrat d’hébergement prévoit au contraire que les éventuels transports à but médical sont facturés en sus du forfait journalier, si bien qu’il devrait en être fait expressément mention dans la facture, ce qui n’est pas le cas dans les factures prises en compte par la juge de première instance.</w:t>
      </w:r>
    </w:p>
    <w:p>
      <w:r>
        <w:t>- 12 - Il n’est pas non plus rendu vraisemblable que les « abonnements divers et impôts (téléphone, télévision, journaux, Serafe, etc.) » seraient compris dans le total facturé, un tel poste ne figurant pas dans la facture et n’étant pas non plus compris dans le forfait journalier selon l’art. 3.1 du contrat d’hébergement. Il est établi en revanche que la somme retenue par la présidente à titre de « frais EMS » comprend la « part socio-hôtelière », soit, selon l’art. 3.1 du contrat d’hébergement, le service à table, le ménage et la blanchisserie en particulier. Cela étant, les « frais EMS » comprennent également le montant de base mensuel par 1'200 fr. et les frais de logement de l’intimée, si bien qu’en définitive, au stade de la vraisemblance, la somme retenue à ce titre, par 5'788 fr. 70, ne dépasse guère ce qui est couvert par le minimum vital LP. S’agissant des loisirs, ils sont désignés dans les factures de l’établissement sous la rubrique « frais du mois » et correspondent à une coiffure et deux sorties restaurant, répartis sur trois mois pour une moyenne de 51 fr. 15. Aussi, même à admettre que ces montants devraient être exclus du minimum vital LP, leur non-prise en compte n’aurait pas d’impact déterminant sur le calcul de la pension. En conséquence, le grief de l’appelant doit être rejeté et le montant des charges de l’intimée retenu par la présidente doit être confirmé. Il n’y a pas lieu, pour les mêmes raisons, de retenir le minimum vital du droit de la famille de l’appelant.</w:t>
      </w:r>
    </w:p>
    <w:p>
      <w:r>
        <w:rPr>
          <w:b/>
        </w:rPr>
        <w:t>E. 4.1</w:t>
      </w:r>
    </w:p>
    <w:p>
      <w:r>
        <w:t>L’appelant estime que l’intimée devrait mettre sa fortune à contribution pour assurer son entretien au motif que, s’agissant d’une personne âgée, ses économies serviront à sa prévoyance vieillesse et « doivent être entamées à un moment ou à un autre ». Il reproche par</w:t>
      </w:r>
    </w:p>
    <w:p>
      <w:r>
        <w:t>- 13 - ailleurs à la présidente de n’avoir pas tenu compte du montant de 53'568 fr. 95 qu’il a versé le 24 novembre 2022 par l’appelant à l’intimée afin que celle-ci subvienne à ses besoins.</w:t>
      </w:r>
    </w:p>
    <w:p>
      <w:r>
        <w:rPr>
          <w:b/>
        </w:rPr>
        <w:t>E. 4.2</w:t>
      </w:r>
    </w:p>
    <w:p>
      <w:r>
        <w:t>Si les revenus du travail et de la fortune des époux suffisent à leur entretien, la substance de la fortune n’est normalement pas prise en considération (ATF 138 III 289 consid. 11.1.2 ; ATF 137 III 102 consid. 4.2.1.1 ; TF 5A_981/2016 du 16 octobre 2017 consid. 3.4, FamPra.ch 2018 p. 226 ; TF 5A_507/2011 du 31 janvier 2012 consid. 4.4). Mais, dans le cas contraire, rien ne s’oppose à ce que l’entretien soit assuré par la fortune, le cas échéant même par les biens propres, la loi plaçant formellement les revenus et la fortune sur un pied d’égalité (art. 125 al. 2 ch. 5 CC ; ATF 138 III 289 consid. 11.1.2 ; ATF 134 III 581 consid. 3.3 ; TF 5A_125/2019 du</w:t>
      </w:r>
    </w:p>
    <w:p>
      <w:r>
        <w:rPr>
          <w:b/>
        </w:rPr>
        <w:t>E. 4.3.1</w:t>
      </w:r>
    </w:p>
    <w:p>
      <w:r>
        <w:t>En l’espèce, il n’est pas rendu vraisemblable, ni même allégué, que les parties menaient un train de vie confortable durant la vie commune ou vivaient grâce à des prélèvements sur leur fortune. En outre, l’inventaire d’entrée de l’intimée – établi par sa curatrice – fait état d’une fortune de 517'170 fr. 74. Cette fortune est toutefois composée en majeure partie d’une part de copropriété sur un immeuble pour une valeur de 331'500 francs. Or, on ne saurait attendre de l’intimée, en particulier au stade des mesures protectrices de l’union conjugale, qu’elle vende sa part de copropriété afin de couvrir son propre</w:t>
      </w:r>
    </w:p>
    <w:p>
      <w:r>
        <w:t>- 15 - entretien. Ce bien n’étant au demeurant pas « aisément réalisable », il n’y a pas lieu d’en tenir compte. Au stade de la vraisemblance, on constate que le total des liquidités de l’intimée, par 69'306 fr. 08 – même additionné des fonds de placement par 116'364 fr. 66, soit 185'670 fr. 74 – n’est pas d’une importance telle qu’il justifierait, au sens de la jurisprudence qui précède, d’être mis à contribution par l’intimée pour subvenir à ses besoins. Au demeurant, on relève que la pension versée par l’appelant ne couvre pas le minimum vital LP de l’intimée, si bien qu’elle sera dans tous les cas contrainte en pratique d’utiliser ses fonds personnels pour faire face à ses charges. Sa fortune est donc déjà de facto mise à contribution. En conséquence, on ne peut pas, au stade des mesures protectrices de l’union conjugale du moins, exiger de l’intimée qu’elle puise davantage dans sa fortune pour couvrir ses charges du minimum vital LP.</w:t>
      </w:r>
    </w:p>
    <w:p>
      <w:r>
        <w:rPr>
          <w:b/>
        </w:rPr>
        <w:t>E. 4.3.2</w:t>
      </w:r>
    </w:p>
    <w:p>
      <w:r>
        <w:t>La présidente a estimé qu’il n’y avait pas lieu de tenir compte du montant de 53'586 fr. 95 acquitté par l’appelant en faveur de l’intimée dans la mesure où il s’agissait d’une question de liquidation du régime matrimonial qu’elle n’était pas en mesure de trancher en sa qualité de juge des mesures protectrices de l’union conjugale. Cependant, la juge de première instance s’est fondée sur ce même montant et a estimé qu’il représentait, depuis le moment de son versement en novembre 2022 jusqu’en septembre 2023, un montant mensuel de 4'970 fr. dont avait bénéficié l’intimée, soit des mensualités supérieures à son manco, de sorte que la pension ne devait être versée qu’à compter du 1er octobre 2023. Or la question d’une éventuelle liquidation du régime matrimonial n’entre aucunement en ligne de compte, puisque les parties</w:t>
      </w:r>
    </w:p>
    <w:p>
      <w:r>
        <w:t>- 16 - sont mariées et ne sont pas en procédure de divorce. Il faut simplement constater à ce stade que l’appelant a effectivement versé 53'586 fr. 95 à l’intimée, précisément pour assurer l’entretien de celle-ci – ce qui n’est pas contesté au demeurant –, en conformité avec son devoir d’époux fondé sur l’art. 163 CC. Il faut donc tenir compte intégralement de cette somme. Les parties sont séparées depuis le 1er janvier 2023, et l’intimée a conclu au versement d’une contribution en sa faveur à compter du 1er mai 2023. En application de la maxime de disposition, c’est à partir de cette date que la pension doit être octroyée à l’intimée. Mais cette contribution doit être allouée sous déduction du montant déjà versé de 53'586 fr. 95. La fixation du dies a quo de la pension à une date antérieure de six mois par rapport à celle fixée dans l’ordonnance entreprise ne constitue pas une reformatio in pejus au détriment de l’appelant dans la mesure où le montant de 53'568 fr. 95 dépasse très largement le montant total des contributions dues pour la période de mai à octobre 2023 (1'790 fr. x 6 mois = 10'740 fr.). C’est du reste, comme on l’a vu, pour tenir compte partiellement du versement de 53'568 fr. 95 que le premier juge a fixé le point de départ de la contribution d’entretien au 1er octobre 2023. 5. 5.1 En définitive, l’appel de A.R.________ doit être partiellement admis et l’ordonnance entreprise réformée en ce sens que l’appelant versera une contribution d’entretien de 1'790 fr. par mois à l’intimée dès et y compris le 1er mai 2023, sous déduction d’un montant de 53'568 fr. 95. 5.2</w:t>
      </w:r>
    </w:p>
    <w:p>
      <w:r>
        <w:t>- 17 - 5.2.1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5.2.2 L’appelant a en définitive obtenu gain de cause sur la prise en compte du montant de 53'568 fr. 95 tandis que l’intimée a obtenu gain de cause sur le dies a quo de la pension et presque intégralement gain de cause sur son montant (puisqu’elle concluait au versement d’une contribution de 1'800 fr.). Il convient dès lors de confirmer la compensation des dépens décidée par la juge de première instance. L’ordonnance de mesures protectrices de l’union conjugale ayant été rendue sans frais judiciaires (art. 37 al. 3 CDPJ [Code de droit privé judiciaire vaudois du 12 janvier 2010 ; BLV 211.02]), il n’y a pas lieu d’y revenir. 5.2.3 Les frais judiciaires de deuxième instance doivent être arrêtés à 600 fr. (art. 65 al. 2 in fine TFJC [tarif des frais judiciaires civils du 28 septembre 2010 ; BLV 270.11.5]). Dans la mesure où l’appelant succombe sur le montant de la pension mais obtient gain de cause sur la prise en compte du versement de 53'568 fr. 95, il se justifie de répartir les frais judiciaires par moitié entre chaque partie, soit à hauteur de 300 fr. pour l’appelant et de 300 fr. pour l’intimée.</w:t>
      </w:r>
    </w:p>
    <w:p>
      <w:r>
        <w:t>- 18 - Compte tenu de ce qui précède, les dépens doivent être compensés. En définitive, l’intimée versera la somme de 300 fr. à l’appelant à titre de remboursement partiel de son avance de frais judiciaires de deuxième instance. Par ces motifs, le Juge unique de la Cour d’appel civile prononce : I. L’appel est partiellement admis. II. L’ordonnance de mesures protectrices de l’union conjugale rendue le 26 septembre 2023 par la Présidente du Tribunal civil de l’arrondissement de La Broye et du Nord vaudois est réformée au chiffre I de son dispositif comme il suit : I. astreint A.R.________ à contribuer à l’entretien d’B.R.________ par le régulier versement d’une pension mensuelle, payable d’avance le 1er de chaque mois à cette dernière, de 1'790 fr. (mille sept cent nonante francs), dès et y compris le 1er mai 2023, sous déduction du montant de 53'568 fr. 95 (cinquante- trois mille cinq cent soixante-huit francs et nonante-cinq centimes) déjà versé ; L’ordonnance est confirmée pour le surplus. III. Les frais judiciaires de deuxième instance, arrêtés à 600 fr., sont mis à la charge de l’appelant A.R.________ par 300 fr. (trois cents francs) et à la charge de l’intimée B.R.________ par 300 fr. (trois cents francs). IV. Les dépens de deuxième instance sont compensés.</w:t>
      </w:r>
    </w:p>
    <w:p>
      <w:r>
        <w:t>- 19 - V. L’intimée B.R.________ doit verser à l’appelant A.R.________ la somme de 300 fr. (trois cents francs) à titre de remboursement partiel de son avance de frais judiciaires de deuxième instance. VI. L’arrêt est exécutoire. Le juge unique : Le greffier : Du Le présent arrêt, dont la rédaction a été approuvée à huis clos, est notifié en expédition complète à : - Me Anne-Sophie Brady (pour A.R.________), - Me Marcel Paris (pour B.R.________),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Le greffier :</w:t>
      </w:r>
    </w:p>
    <w:p>
      <w:r>
        <w:rPr>
          <w:b/>
        </w:rPr>
        <w:t>E. 9</w:t>
      </w:r>
    </w:p>
    <w:p>
      <w:r>
        <w:t>septembre 2019 consid. 5.3, FamPra.ch 2020 p. 217), que ce soit en mesures provisionnelles ou dans la procédure au fond (TF 5A_405/2019 du 24 février 2020 consid. 4.1, FamPra.ch 2020 p. 428 ; TF 5A_608/2019 du 16 janvier 2020 consid. 4.2.1 ; TF 5A_170/2016 du 1er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5A_405/2019 du 24 février 2020 consid. 4.1. FamPra.ch 2020 p. 428 ; TF 5A_608/2019 du 16 janvier 2020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w:t>
      </w:r>
    </w:p>
    <w:p>
      <w:r>
        <w:t>- 14 - éventuellement devoir être diminué, l’importance de la fortune et la durée pendant laquelle il est nécessaire de recourir à celle-ci (TF 5A_405/2019 précité consid. 4.1, FamPra.ch 2020 p. 428 ; 5A_125/2019 du 9 septembre 2019 consid. 5.3, FamPra.ch 2020 p. 217 ;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précité consid. 4.2.1, FamPra.ch 2020 p. 428 ; TF 5A_524/2017 du 9 octobre 2017 consid. 5.1.3 ; TF 5A_372/2015 précité consid. 2.1.2, FamPra.ch 2016 p. 258). En outre, pour respecter le principe d’égalité entre les époux, on ne saurait exiger d’un conjoint qu’il entame sa fortune que si on impose à l’autre d’en faire autant, à moins qu’il n’en soit dépourvu (TF 5A_405/2019 du 24 février 2020 consid. 4.1, FamPra.ch 2020 p. 428 ; TF 5A_125/2019 précité consid. 5.3, FamPra.ch 2020 p. 217 ; TF 5A_827/2010 du 13 octobre 2011 consid. 5.2, RMA 2012 p.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