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JS22.036652 vom 24. Januar 2024</w:t>
      </w:r>
    </w:p>
    <w:p>
      <w:r>
        <w:t>VD Tribunal cantonal, 2024-01-24, FR</w:t>
      </w:r>
    </w:p>
    <w:p>
      <w:r>
        <w:rPr>
          <w:b/>
        </w:rPr>
        <w:t xml:space="preserve">Quelle: </w:t>
      </w:r>
      <w:r>
        <w:t>https://mcp.opencaselaw.ch/entscheid/vd_gerichte_JS22.036652</w:t>
      </w:r>
    </w:p>
    <w:p>
      <w:r>
        <w:t>FR: VD_GERICHTE JS22.036652 du 24 janvier 2024</w:t>
      </w:r>
    </w:p>
    <w:p>
      <w:r>
        <w:t>IT: VD_GERICHTE JS22.036652 del 24 gennaio 2024</w:t>
      </w:r>
    </w:p>
    <w:p>
      <w:pPr>
        <w:pStyle w:val="Heading2"/>
      </w:pPr>
      <w:r>
        <w:t>Erwägungen</w:t>
      </w:r>
    </w:p>
    <w:p>
      <w:r>
        <w:rPr>
          <w:b/>
        </w:rPr>
        <w:t>E. 1</w:t>
      </w:r>
    </w:p>
    <w:p>
      <w:r>
        <w:t>CPC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consid. 3.2.2, publié in FamPra.ch 2011 p. 993 ; TF 5A_562/2013 du 24 octobre 2013 consid. 3.1). Selon la jurisprudence, l’art. 179 al. 1, 2e phrase, CC renvoie notamment à l’art. 134 al. 2 CC (modification des autres droits et devoirs des père et mère en cas de divorce), en relation avec les art. 276 ss CC (obligation d’entretien des père et mère) et plus précisément l’art. 286 CC s’agissant de la modification de la contribution d’entretien de l’enfant (ATF 143 III 392 consid. 2.7.2 ; TF 5A_1035/2021 du 2 août 2022 consid. 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JdT 2020 II 190 ; ATF 141 III 376 consid. 3.3.1 ; TF 5A_501/2018 du 22 novembre 2018 consid. 2 ; TF 5A_253/2020 du 25 mars 2021 consid. 3.1.1, FamPra.ch 2021 p. 798 ; TF 5A_895/2021 du 6 janvier 2022 consid. 5 ; TF 5A_1035/2021 précité consid. 3). Cette soupape, rendue nécessaire par le</w:t>
      </w:r>
    </w:p>
    <w:p>
      <w:r>
        <w:t>- 24 - caractère expédient de la procédure de mesures protectrices, constitue une sorte de révision facilitée. Une décision rendue alors que certains faits ont été intentionnellement cachés ou fondée sur des déclarations mensongères d’une partie doit être modifiée (Juge unique CACI 24 septembre 2015/504 et les réf. citées). La partie requérante doit fonder sa demande en modification sur de vrais nova (ATF 143 III 42 consid. 5.2-5.3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143 III 42 précité consid. 5.2 ; TF 5A_18/2016 du 24 novembre 2016 consid. 2.5 ; TF 5A_436/2020 du 5 février 2021 consid. 4.2). En d’autres termes, la voie de la modification est ouverte soit lorsque le fait allégué est un vrai nova, soit lorsqu’il constitue un pseudo nova, mais que le moyen de preuve apte à l’établir est un vrai nova (TF 5A_154/2019 du 1er octobre 2019 consid. 4.1, FamPra ch. 2020 p. 177). Par ailleurs, lorsqu’il s’agit d’invoquer des pseudo nova qui ne pouvaient être présentés avant le début des délibérations d’appel, seule la voie de la révision est ouverte (art. 328 al. 1 CPC ; ATF 143 III 42 précité consid. 5.2-5.3 ; TF 5A_42/2019 précité consid. 3.2), sous réserve du cas dans lequel le moyen de preuve apte à établir le fait invoqué est un vrai nova (TF 5A_154/2019 précité consid. 4.1, FamPra.ch 2020 p. 177). 4.4.2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w:t>
      </w:r>
    </w:p>
    <w:p>
      <w:r>
        <w:t>- 25 -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précité consid. 2.6.1, cf. Immele- de Weck, Modification d’une convention entre époux en mesures protectrices et provisionnelles : cherchez l’erreur, Newsletter Droit matrimonial, été 2016). On présumera néanmoins que la contribution d’entretien a été fixée en tenant compte des modifications prévisibles, soit celles qui, bien que futures, sont déjà certaines ou fort probables (Juge unique CACI 2 août 2021/375 : fixation d’une contribution d’entretien à quelques mois de la majorité de l’enfant). 4.5 4.5.1 L’appelant se prévaut tout d’abord d’un prétendu vice du consentement au sens des art. 23ss CO et allègue avoir été victime d’une erreur essentielle au sujet des éléments qui aurait été discutés et convenus lors de l’audience de mesures protectrices de l’union conjugale du 28 novembre 2022, sans toutefois motiver davantage son grief. Le moyen de l’appelant, portant sur sa compréhension de la portée de ses engagements, est infondé. D’une part, il était assisté d’un avocat lors de cette audience, laquelle a duré presque deux heures. L’avocat en question avait rédigé la réponse du 12 octobre 2022 au nom et pour le compte de l’appelant. C’est dire que celui-ci avait pu méditer sa position en étant dûment conseillé avant de signer la convention querellée, étant rappelé que l’intéressé a en outre bénéficié d’une suspension d’audience pour s’entretenir seul à seul avec son avocat. D’autre part, il ne peut échapper à une partie à un procès, qui plus est assistée d’un mandataire professionnel, qu’une audience de mesures protectrices de l’union conjugale se solde en principe soit par la conclusion d’une convention soit par la reddition d’une décision, et que si une convention est signée, c’est pour qu’elle soit ratifiée et munie de l’autorité</w:t>
      </w:r>
    </w:p>
    <w:p>
      <w:r>
        <w:t>- 26 - de la chose jugée, en remplacement de la décision qui aurait à défaut été rendue d’autorité. Aucun élément ne permet en définitive de retenir que l’appelant n’avait pas compris ce à quoi il s’engageait en signant la convention litigieuse ou que son avocat ne lui en avait pas exposé la portée, à supposer que l’intéressé ne l’eût pas entièrement saisie lui‑même. En définitive, on ne discerne pas en quoi le premier juge aurait violé la maxime d’office en ratifiant la convention, ni en quoi il aurait méconnu ou mésusé de son devoir de vérification. Les calculs ont été effectués avec les parties, en présence de leurs conseils, et le président a pris en compte le fait que la garde des enfants était attribuée à leur mère et que leur entretien convenable était intégralement couvert par le montant desdites pensions. Il n’apparaît dès lors pas que la convention serait inéquitable et elle est en tous les cas conforme à l’intérêt des enfants mineurs concernés. Le grief invoqué par l’appelant doit ainsi être rejeté, dans la mesure de sa recevabilité. 4.5.2 L’appelant soutient que ce serait à tort qu’une contribution de prise en charge par 424 fr. 25 par enfant aurait été retenue, en sus de leurs coûts directs, pour fixer le montant des contributions d’entretien lors de l’audience du 28 novembre 2022. Même s’il est relevé que, dans la mesure où l’intimée travaille à 100 %, aucune contribution de prise en charge ne doit être ajoutée aux coûts directs des enfants, il faut constater que ce montant de 424 fr. 25 par enfant représente le manco mensuel de l’intimée, lequel doit toutefois être couvert par le disponible mensuel de l’appelant. Dans ces circonstances, les pensions des enfants devraient être réduites de 424 fr. 25 chacune et celle de l’intimée augmentée de 1’272 fr. 75 (3 x 424 fr. 75), pour un résultat arithmétiquement nul. Il ne se justifie donc pas de modifier lesdites pensions, le résultat étant in fine le même et n’étant ainsi pas manifestement inéquitable.</w:t>
      </w:r>
    </w:p>
    <w:p>
      <w:r>
        <w:t>- 27 - Le grief invoqué par l’appelant doit être rejeté. 4.5.3 Dans la mesure où la convention signée par les parties le 28 novembre 2022, laquelle a été ratifiée par le président pour valoir ordonnance de mesures protectrices de l’union conjugale, ne comporte aucun vice de consentement, il convient de déterminer s’il existe des éléments nouveaux – soit dans les revenus, soit dans les charges des parties ou de leurs enfants – qui sont à même d’avoir une incidence sur le montant desdites pensions, indépendamment du fait que les pensions aient été ou non fixées « dans l’attente de la reddition du rapport d’évaluation de l’UEMS ». 4.6 4.6.1 L’appelant prétend que les pensions alimentaires devraient être réduites, en raison de son licenciement avec effet immédiat intervenu le 6 novembre 2023. En l’espèce, il ne se justifie pas de tenir compte du licenciement de l’appelant. En effet, rien n’indique qu’il ne pourra pas bénéficier des indemnités de l’assurance-chômage. Par ailleurs, outre que la circonstance du licenciement prend formellement effet au-delà de la date à laquelle la décision attaquée a été rendue, il ne se justifie de tenir compte du chômage du débirentier que lorsque la période de chômage atteint une certaine durée, que la jurisprudence fixe en l’occurrence à quatre mois au moins (TF 5P.445/2004 du 9 mars 2005 consid. 2.3). Dans tous les cas, la question de savoir si la période de chômage est durable dépend des circonstances concrètes de chaque cas d’espèce, en particulier de la situation économique (TF 5A_217/2009 du 30 octobre 2009 consid. 3.2). Avant de savoir si le chômage auquel l’appelant est exposé est de longue durée, la modification de la contribution d’entretien ne s’impose pas. Le cas échéant, il appartiendra à l’appelant d’invoquer cette circonstance à titre de modification substantielle et durable de ses revenus impliquant la modification de la contribution d’entretien fixée dans le cadre des mesures protectrices de l’union conjugale.</w:t>
      </w:r>
    </w:p>
    <w:p>
      <w:r>
        <w:t>- 28 - Le grief, mal fondé, doit être rejeté. 4.6.2 L’appelant soutient que sa charge d’impôt et ses frais médicaux auraient été sous-évalués lors de l’audience du 28 novembre 2022. S’agissant de sa charge d’impôt, celle-ci a été arrêtée à 600 fr. par mois lors de l’audience du 28 novembre 2022. Les pièces produites en première instance, à savoir les preuves de paiement des acomptes, démontrent que l’appelant payait la somme de 635 fr. 70 par mois en 2023. Toutefois, il ne s’agit que d’acomptes 2023 et l’appelant n’a pas produit sa déclaration d’impôt 2022 ou 2023, laquelle aurait pu attester d’une prétendue augmentation. Au demeurant, dans son appel, l’appelant n’a pas expliqué comment cette charge avait été calculée en 2022. Rien ne justifie dès lors, faute de motivation, de retenir à ce titre un montant de 650 fr. dans son budget mensuel. Concernant ses frais médicaux, ceux-ci ont été arrêtés à 266 fr. 65 lors de l’audience du 38 novembre 2022. L’appelant prétend qu’ils devraient être arrêtés à 500 fr. par mois. A l’appui de ses dires, il fait référence aux pièces produites dans son courrier du 19 octobre 2023, à savoir un décompte du 17 juillet 2023 de prestations de son assurance- maladie obligatoire totalisant 926 fr. 10 et une facture de médecin de 151 fr. 60, ainsi que celles produites à l’appui de son courrier du 30 octobre 2023, soit ses relevés bancaires des mois d’août et de septembre 2023. Il ne ressort toutefois pas de ces pièces que ses frais médicaux s’élèveraient à 500 fr. par mois. En effet, on ignore, d’une part, le montant de la franchise mensuelle de l’appelant et, d’autre part, les montants qui ont effectivement été mis à sa charge. A cela s’ajoute que l’appelant n’a pas expliqué comment le montant de 266 fr. 65 avait été calculé lors de l’audience du 28 novembre 2022 et il n’a pas motivé, que ce soit en première ou en deuxième instance, les raisons pour lesquelles ses frais médicaux devraient être retenus à hauteur de 500 fr. par mois. Il ne justifie dès lors en rien de frais médicaux supérieurs et ne démontre</w:t>
      </w:r>
    </w:p>
    <w:p>
      <w:r>
        <w:t>- 29 - d’ailleurs pas qu’il serait atteint d’une maladie qui l’obligerait à suivre un traitement sur une longue période et avec des coûts élevés et réguliers. Faute de motivation à ce titre, il n’y a pas lieu de retenir la somme de 500 fr. dans son budget mensuel. 4.6.3 L’appelant relève ensuite que rien ne justifierait que l’intimée perçoive une pension alimentaire, sans motiver son grief. Faute de motivation à ce titre, celui-ci doit être déclaré irrecevable. 4.6.4 L’appelant soutient enfin que l’intimée vivrait en concubinage et formerait une communauté domestique avec son nouvel ami. A l’appui de ses dires, il a produit des photographies qui auraient été prises le 20 novembre 2023 au domicile de l’intimée. Il s’agit de quelques produits de douche, d’une veste, de quelques habits et d’une cigarette électronique. Il est relevé qu’on ignore toutefois dans quelles circonstances et à quelle date ont été prises ces photographies, ainsi que si elles proviennent véritablement du domicile de l’intimée. En tout état de cause, s’ils attestent d’une présence masculine au domicile de l’intimée, ils ne suffisent pas à rendre vraisemblable une présence durable assimilable à un concubinage simple. A défaut d’éléments probants, il ne convient pas de retenir une éventuelle communauté de vie. Le grief invoqué par l’appelant doit donc être rejeté. 4.7 Dans la mesure où aucun élément nouveau n’est de nature à modifier le montant des pensions alimentaires, il ne convient pas de modifier l’avis aux débiteurs ordonné par le premier juge.</w:t>
      </w:r>
    </w:p>
    <w:p>
      <w:r>
        <w:rPr>
          <w:b/>
        </w:rPr>
        <w:t>E. 5</w:t>
      </w:r>
    </w:p>
    <w:p>
      <w:r>
        <w:t>- 30 -</w:t>
      </w:r>
    </w:p>
    <w:p>
      <w:r>
        <w:rPr>
          <w:b/>
        </w:rPr>
        <w:t>E. 5.1</w:t>
      </w:r>
    </w:p>
    <w:p>
      <w:r>
        <w:t>En définitive, l’appel doit être rejeté, dans la mesure où il est recevable, selon le mode procédural de l’art. 312 al. 1 CPC, et l’ordonnance entreprise confirmée. L’appel était dénué de chance de succès au sens de l’art. 117 let. b CPC. Le bénéfice de l’assistance judiciaire doit donc être refusé à l’appelant. Les frais judiciaires de deuxième instance doivent être arrêtés à 1’200 fr. (art. 65 al. 2 et 4 TFJC [tarif des frais judiciaires civils du 28 septembre 2010 ; BLV 270.11.5]). Ils seront mis à la charge de l’appelant, qui succombe (art. 106 al. 1 CPC). Il n’est pas alloué de dépens, l’intimée n’ayant pas été invitée à se déterminer. Par ces motifs, la Juge unique de la Cour d’appel civile prononce : I. L’appel est rejeté, dans la mesure où il est recevable. II. L’ordonnance est confirmée. III. La requête d’assistance judiciaire est rejetée. IV. Les frais judiciaires de deuxième instance, arrêtés à 1’200 fr. (mille deux cents francs), sont mis à la charge de l’appelant A.W.________. V. L’arrêt est exécutoire</w:t>
      </w:r>
    </w:p>
    <w:p>
      <w:r>
        <w:t>- 31 - La juge unique : La greffière : Du Le présent arrêt, dont la rédaction a été approuvée à huis clos, est notifié en expédition complète à : - Me Alexandre de Candia, avocat (pour A.W.________), - Me Marina Kilchenmann, avocate (pour B.W.________), et communiqué, par l’envoi de photocopies, à : - M. le Président du Tribunal civil de l’arrondissement de La Broye et du Nord vaudois, - O.________, assistante sociale pour la protection des mineurs auprès de l’Office régional de protection des mineurs Couronne et Gros-de-Vaud.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