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JS22.028845 vom 22. August 2023</w:t>
      </w:r>
    </w:p>
    <w:p>
      <w:r>
        <w:t>VD Tribunal cantonal, 2023-08-22, FR</w:t>
      </w:r>
    </w:p>
    <w:p>
      <w:r>
        <w:rPr>
          <w:b/>
        </w:rPr>
        <w:t xml:space="preserve">Quelle: </w:t>
      </w:r>
      <w:r>
        <w:t>https://mcp.opencaselaw.ch/entscheid/vd_gerichte_JS22.028845</w:t>
      </w:r>
    </w:p>
    <w:p>
      <w:r>
        <w:t>FR: VD_GERICHTE JS22.028845 du 22 août 2023</w:t>
      </w:r>
    </w:p>
    <w:p>
      <w:r>
        <w:t>IT: VD_GERICHTE JS22.028845 del 22 agosto 2023</w:t>
      </w:r>
    </w:p>
    <w:p>
      <w:pPr>
        <w:pStyle w:val="Heading2"/>
      </w:pPr>
      <w:r>
        <w:t>Erwägungen</w:t>
      </w:r>
    </w:p>
    <w:p>
      <w:r>
        <w:rPr>
          <w:b/>
        </w:rPr>
        <w:t>E. 3.1</w:t>
      </w:r>
    </w:p>
    <w:p>
      <w:r>
        <w:t>L’appelant fait valoir un fait nouveau en appel, soit le fait que le jugement de divorce rendu par le Tribunal de Porto est désormais</w:t>
      </w:r>
    </w:p>
    <w:p>
      <w:r>
        <w:t>- 10 - définitif et exécutoire. A l’appui de ce nouvel allégué, il a produit plusieurs pièces. Quant à l’intimée, elle a produit un courrier de la Direction de l’état civil du 21 mars 2023. L’appelant a également produit diverses pièces nouvelles relatives à sa situation financière.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w:t>
      </w:r>
    </w:p>
    <w:p>
      <w:r>
        <w:rPr>
          <w:b/>
        </w:rPr>
        <w:t>E. 3.3</w:t>
      </w:r>
    </w:p>
    <w:p>
      <w:r>
        <w:t>En l’espèce, les arrêts des 9 février 2023 et 24 mars 2023 rendus par le Tribunal de Porto, tout comme le document du 31 mai 2023</w:t>
      </w:r>
    </w:p>
    <w:p>
      <w:r>
        <w:t>- 11 - attestant du caractère définitif et exécutoire du jugement divorce et les échanges de courriels entre les conseils suisse et portugais de l’appelant des 10 mars et 2 juin 2023 sont recevables, dès lors qu’ils constituent de vrais nova en appel. Il en va de même du courrier de la Direction de l’état civil du 21 mars 2023 produit par l’intimée. S’agissant ensuite des pièces 4 à 7 produites par l’appelant, force est de constater qu’elles sont toutes antérieures au 26 janvier 2023, date de la clôture de l’instruction par le premier juge. Dès lors qu’elles auraient pu être produites devant le premier juge, elles sont irrecevables en appel. Le fait que l’appelant ne comprenne pas bien le français, comme son mandataire l’a invoqué dans sa plaidoirie d’appel pour justifier le retard dans la production de ces pièces, ne constitue pas un motif suffisant pour les admettre.</w:t>
      </w:r>
    </w:p>
    <w:p>
      <w:r>
        <w:rPr>
          <w:b/>
        </w:rPr>
        <w:t>E. 4.1</w:t>
      </w:r>
    </w:p>
    <w:p>
      <w:r>
        <w:t>Dans un premier grief, l’appelant soutient en substance que le jugement de divorce prononcé par le Tribunal de Porto est définitif et exécutoire, de sorte qu’il devrait déployer ses effets en Suisse. Partant, les contributions d’entretien prononcées en Suisse seraient contraires au droit, à tout le moins pour la période postérieure au jugement de divorce portugais. Il relève que les démarches visant l’exequatur en Suisse sont en cours et que la reconnaissance de ce jugement va prochainement être admise par les autorités suisses.</w:t>
      </w:r>
    </w:p>
    <w:p>
      <w:r>
        <w:rPr>
          <w:b/>
        </w:rPr>
        <w:t>E. 4.2.1</w:t>
      </w:r>
    </w:p>
    <w:p>
      <w:r>
        <w:t>Selon l’art. 59 CPC, le tribunal n’entre en matière que sur les demandes et les requêtes qui satisfont aux conditions de recevabilité de l’action (al. 1). Selon l’al. 2 de cette disposition, font partie de ces conditions le fait que le litige ne fasse pas l’objet d’une litispendance préexistante (let. d) ou d’une décision entrée en force (e). Sauf exceptions (cf. art. 64 al. 1 let. b CPC), les conditions de recevabilité doivent être réunies en principe au moment du jugement et peuvent ainsi intervenir comme disparaître jusqu'à ce moment (CACI 26 mars 2015/152). En d’autres termes, les conditions de recevabilité doivent encore exister au</w:t>
      </w:r>
    </w:p>
    <w:p>
      <w:r>
        <w:t>- 12 - moment du jugement, mais il suffit qu’elles soient réunies à ce moment (TF 5A_633/2015 du 18 février 2016 consid. 4.1.1). L'autorité de la chose jugée de jugements rendus à l'étranger doit également être prise en compte, dans la mesure où ils peuvent être reconnus en Suisse (CACI 29 juin 2015/335 ; CCUR 11 septembre 2015/204). En vertu de l'art. 335 al. 3 CPC, la reconnaissance, la déclaration de force exécutoire et l'exécution des décisions étrangères sont régies par le présent chapitre – en l’occurrence le chapitre 1 du titre 10 de la partie 2 du CPC (art. 335 à 346) –, à moins qu'un traité international ou la loi sur le droit international privé n'en dispose autrement. La reconnaissance et l'exécution d’un jugement de divorce portugais est soumise à Convention sur la reconnaissance des divorces et des séparations de corps conclue à La Haye le 1er juin 1970 (CLaH 70 ; RS 0.211.212.3), à laquelle la Suisse et le Portugal sont parties et qui est visée par la réserve prévue à l'art. 335 al. 3 CPC. Aux termes de cette convention, les divorces sont reconnus dans tout autre État contractant – sous réserve des autres dispositions de la présente Convention – notamment si, à la date de la demande dans l’État du divorce les deux époux étaient ressortissants de cet État (art. 2 ch.3). Selon l’art. 8 CLaH 70, si, eu égard à l’ensemble des circonstances, les démarches appropriées n’ont pas été entreprises pour que le défendeur soit informé de la demande en divorce ou en séparation de corps, ou si le défendeur n’a pas été mis à même de faire valoir ses droits, la reconnaissance du divorce ou de la séparation de corps peut être refusée. Il en va de même si la reconnaissance d’un divorce est manifestement incompatible avec son ordre public (art. 10 CLaH70). Selon la jurisprudence, la réserve de l'ordre public doit permettre au juge de ne pas apporter la protection de la justice suisse à des situations qui contredisent de façon choquante les principes les plus essentiels de l'ordre juridique, tel qu'il est conçu en Suisse. En tant que clause d'exception, la réserve de l'ordre public doit être interprétée d'une manière restrictive, spécialement en matière de reconnaissance et d'exécution des décisions et actes authentiques étrangers, où sa portée</w:t>
      </w:r>
    </w:p>
    <w:p>
      <w:r>
        <w:t>- 13 - est plus étroite que pour l'application directe du droit étranger (effet atténué de l'ordre public); la reconnaissance et l'exécution de la décision étrangère constitue ainsi la règle, dont il ne faut pas s'écarter sans de bons motifs (ATF 143 III 404 consid. 5.2.3 et les références citées [ad art. 34 ch. 1 CL]). Conformément à l'art. 29 al. 3 LDIP (loi sur le droit international privé du 18 décembre 1987; RS 291), lorsqu'une décision étrangère est invoquée à titre préalable, l'autorité saisie peut statuer elle- même sur la reconnaissance. Dans cette hypothèse, qui constitue la règle en comparaison avec celle où la question de la reconnaissance est traitée dans une procédure autonome, l'autorité suisse appelée à connaître d'une demande principale dans un procès au fond tranchera elle-même, à titre préalable, la question de la reconnaissance de la décision étrangère invoquée par l'une des parties. Elle le fera soit lorsqu'elle statuera sur le fond, soit en cours de procès au moyen d'une décision incidente (TF 4A_604/2014 du 30 mars 2015 consid. 2.2.1). Malgré son libellé, l'art. 29 al. 3 LDIP ne consacre pas une simple faculté pour le juge. Celui-ci doit se prononcer sur la reconnaissance si cette question est pertinente pour trancher le litige. Il peut également, le cas échéant, surseoir à statuer jusqu'à droit connu sur ce point (TF 5A_70/2021 du 18 octobre 2021 consid. 5.1 et les références citées).</w:t>
      </w:r>
    </w:p>
    <w:p>
      <w:r>
        <w:rPr>
          <w:b/>
        </w:rPr>
        <w:t>E. 4.2.2</w:t>
      </w:r>
    </w:p>
    <w:p>
      <w:r>
        <w:t>L’art. 276 CPC prévoit que le tribunal du divorce ordonne les mesures provisionnelles nécessaires (al. 1), que les mesures ordonnées par le tribunal des mesures protectrices de l’union conjugale sont maintenues et que le tribunal du divorce est compétent pour prononcer leur modification ou leur révocation (al. 2). Selon l’art. 268 al. 2 CPC, l’entrée en force de la décision sur le fond entraîne la caducité des mesures provisionnelles.</w:t>
      </w:r>
    </w:p>
    <w:p>
      <w:r>
        <w:rPr>
          <w:b/>
        </w:rPr>
        <w:t>E. 4.3</w:t>
      </w:r>
    </w:p>
    <w:p>
      <w:r>
        <w:t>En l’espèce, le jugement de divorce rendu au Portugal est définitif et exécutoire dans cet Etat. L’intimée s’oppose à sa reconnaissance, au motif qu’il homologue une convention conclue lors d’une audience de conciliation à laquelle le tribunal portugais l’a citée par</w:t>
      </w:r>
    </w:p>
    <w:p>
      <w:r>
        <w:t>- 14 - courriel deux jours avant l’audience et à laquelle elle a participé, de son domicile en Suisse, sans assistance et sans avoir disposé d’un temps suffisant pour se préparer. On peut s’interroger sur la conformité au droit international public du procédé consistant, pour le juge civil d’un Etat, à tenir une audience en visioconférence avec des parties qui se trouvent sur le territoire d’un autre Etat sans l’autorisation des autorités compétentes de celui-ci. Suivant la teneur de la citation envoyée à l’intimée et à condition que la présence en Suisse de la personne entendue suffise à localiser l’acte en Suisse, il se pourrait même que l’art. 271 ch. 1 CP (Code pénal suisse du 21 décembre 1937 ; RS 311.0) pût trouver application. En tout état, l’appelant n’a pas contesté que l’intimée n’a pas été citée à l’audience de conciliation quelques jours seulement avant celle-ci. Il est dès lors très vraisemblable que l’intimée n’a pas disposé d’un temps convenable pour se préparer à l’audience de conciliation et qu’elle a consenti par surprise aux conditions de divorce qui lui étaient offertes par l’appelant. Dans ces conditions, la reconnaissance du jugement de divorce portugais doit être refusée.</w:t>
      </w:r>
    </w:p>
    <w:p>
      <w:r>
        <w:rPr>
          <w:b/>
        </w:rPr>
        <w:t>E. 5.1</w:t>
      </w:r>
    </w:p>
    <w:p>
      <w:r>
        <w:t>A titre subsidiaire, l’appelant soutient que l’ordonnance violerait la protection de son minimum vital.</w:t>
      </w:r>
    </w:p>
    <w:p>
      <w:r>
        <w:rPr>
          <w:b/>
        </w:rPr>
        <w:t>E. 5.1.1</w:t>
      </w:r>
    </w:p>
    <w:p>
      <w:r>
        <w:t>; TF 4A_621/2021 du 30 août 2022 consid. 3.1 ; TF 4A_611/2020 du 12 juillet 2021 consid 3.1.2).</w:t>
      </w:r>
    </w:p>
    <w:p>
      <w:r>
        <w:rPr>
          <w:b/>
        </w:rPr>
        <w:t>E. 5.2</w:t>
      </w:r>
    </w:p>
    <w:p>
      <w:r>
        <w:t>Selon l’art. 311 al. 1 CPC, 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Il n’est en principe pas excessivement formaliste d’exiger un renvoi suffisamment précis aux passages des pièces du</w:t>
      </w:r>
    </w:p>
    <w:p>
      <w:r>
        <w:t>- 15 - dossier, sauf si la pièce ne comporte qu’une page ou ne contient que les indications relevantes (TF 4A_467/2020 du 8 septembre 2021 consid. 2.5.3). Il n’est cependant pas exigé que le numéro de page ou le considérant critiqué soit expressément mentionné, lorsque le grief peut être sans autres attribué à un passage déterminé de la décision (TF 4A_142/2017 du 3 août 2017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4A_462/2022 du 6 mars 2023 consid.</w:t>
      </w:r>
    </w:p>
    <w:p>
      <w:r>
        <w:rPr>
          <w:b/>
        </w:rPr>
        <w:t>E. 5.3.1</w:t>
      </w:r>
    </w:p>
    <w:p>
      <w:r>
        <w:t>L’appelant conteste tout d’abord les primes d’assurance- maladie retenues à hauteur de 254 fr. 35, subsides déduits, soutenant à cet égard que son subside s’élèverait en réalité à 24 fr. par mois. Il se fonde toutefois sur la pièce 4 qui a été jugée irrecevable en appel. Partant, ce grief doit être rejeté, le montant de 254 fr. 35 correspondant au montant allégué en première instance.</w:t>
      </w:r>
    </w:p>
    <w:p>
      <w:r>
        <w:rPr>
          <w:b/>
        </w:rPr>
        <w:t>E. 5.3.2</w:t>
      </w:r>
    </w:p>
    <w:p>
      <w:r>
        <w:t>L’appelant soutient ensuite qu’il faudrait tenir compte de ses primes LCA pour 47 fr. 80 au lieu des 23 fr. 90 retenus. Il se fonde sur la pièce 118 produite devant le premier juge sans motiver plus amplement son grief. Il ressort toutefois de cette pièce qu’il versait 20 fr. 40 pour une assurance complémentaire pour les soins ambulatoires et hospitaliers, ainsi que 3 fr. 50 pour une assurance complémentaire en cas de voyage à</w:t>
      </w:r>
    </w:p>
    <w:p>
      <w:r>
        <w:t>- 16 - l’étranger, soit à 23 fr. 90 au total. Partant, ce grief doit également être rejeté.</w:t>
      </w:r>
    </w:p>
    <w:p>
      <w:r>
        <w:rPr>
          <w:b/>
        </w:rPr>
        <w:t>E. 5.3.3</w:t>
      </w:r>
    </w:p>
    <w:p>
      <w:r>
        <w:t>L’appelant conteste également que sa place de parc n’ait pas été retenue, alors qu’elle s’élève à 151 fr. 20 par mois, se référant à la pièce 119 produite. Le premier juge a exclu ce montant au motif que l’appelant avait vendu sa voiture et l’appelant ne conteste pas ce fait dans son appel. Il n’explique par ailleurs pas pourquoi il serait quand-même justifié, selon lui, de retenir le loyer de cette place de parc dans ses charges lors même qu’il n’a plus de voiture. Partant, ce grief est irrecevable faute de motivation dirigée contre le raisonnement du premier juge.</w:t>
      </w:r>
    </w:p>
    <w:p>
      <w:r>
        <w:rPr>
          <w:b/>
        </w:rPr>
        <w:t>E. 5.3.4</w:t>
      </w:r>
    </w:p>
    <w:p>
      <w:r>
        <w:t>L’appelant soutient encore que les contributions d’entretien dues en faveur de sa fille [...] devaient être entièrement prises en compte par 250 fr. par mois, se référant aux pièces 5, 6 et 121 produites. A cet égard, le premier juge a considéré que la contribution d’entretien en faveur du conjoint l’emportait sur celle due en faveur de l’enfant majeur et que l’appelant n’avait de toute manière produit aucun jugement ou convention établissant le montant allégué. Là encore, l’appelant se contente d’alléguer à nouveau ce montant en se référant aux pièces produites, sans apporter de motivation suffisante à la lumière des arguments avancés par le premier juge. Partant, ce grief est irrecevable faute de motivation. Même recevable, ce grief serait de toute manière rejeté, puisque la pièce 121 – seule recevable – n’établit pas avec un degré de vraisemblance suffisante qu’il serait le débiteur d’une obligation d’entretien de 150 fr. par mois envers sa fille majeure [...], étant rappelé que les pièces 5 et 6 produites en appel ont été déclarées irrecevables. En outre, l’obligation d’entretien du conjoint l’emporte sur celle de l’enfant majeur. Ce principe a été posé pour régler les situations dans lesquelles la capacité contributive de l’époux débirentier n’est pas suffisante pour couvrir à la fois les prétentions du conjoint et celles des</w:t>
      </w:r>
    </w:p>
    <w:p>
      <w:r>
        <w:t>- 17 - enfants majeurs (TF 5A_823/2014 du 3 février 2015 consid. 5.4). Les frais d’entretien de l’enfant majeur découlant de l’art. 277 al. 2 CC (Code civil suisse du 10 décembre 1907 ; RS 210) ne doivent dès lors pas être inclus dans le minimum vital élargi du débirentier (ATF 132 III 209 consid. 2.3 et la jurisprudence citée ; SJ 2006 I 538 ; TF 5A_958/2014 du 12 mai 2015 consid. 4.5). Cette jurisprudence vaut également en matière de mesures provisionnelles (ATF 132 III 209 consid. 2.3.) et de mesures protectrices (TF 5P. 384/2002 du 17 décembre 2002 consid. 2.1 ; TF 5A_36/2016 du 29 mars 2016 consid. 4.1). L’entrée en vigueur de l’art. 276a al. 2 CC ne change rien à cette jurisprudence, selon laquelle l’obligation d’entretien envers l’ex-conjoint l’emporte sur celle de l’enfant majeur en formation (ATF 147 III 265 consid. 7.3, FamPra.ch 2021 p. 200 note Stoll, JdT 2022 II 347; ATF 146 III 169 consid. 4.2.2.5, JdT 2021 II 102 ; en ce sens déjà Juge délégué CACI 25 juillet 2017/339). Ainsi, sur le fond, l’ordonnance aurait de toute manière été entièrement confirmée sur ce point.</w:t>
      </w:r>
    </w:p>
    <w:p>
      <w:r>
        <w:rPr>
          <w:b/>
        </w:rPr>
        <w:t>E. 5.3.5</w:t>
      </w:r>
    </w:p>
    <w:p>
      <w:r>
        <w:t>Enfin, l’appelant reproche au premier juge de ne pas avoir pris en compte ses frais médicaux non remboursés à hauteur de 674 fr. 55 par an, soit 56 fr. 10 par mois. La pièce 7 produite, sur laquelle il se fonde, a toutefois été déclarée irrecevable en appel. Partant ce grief doit être rejeté, étant rappelé que l’appelant n’a produit aucune pièce rendant vraisemblable le montant allégué devant le premier juge.</w:t>
      </w:r>
    </w:p>
    <w:p>
      <w:r>
        <w:rPr>
          <w:b/>
        </w:rPr>
        <w:t>E. 6</w:t>
      </w:r>
    </w:p>
    <w:p>
      <w:r>
        <w:t>L’appelant soutient par ailleurs que son revenu mensuel net moyen s’élèverait à 5'118 fr. 25, treizième salaire compris, se référant aux pièces 108 à 113 constituées des fiches de salaire de février à juillet 2022, le premier juge ayant considéré que l’appelant avait réalisé, en 2021 et 2022, un revenu mensuel global net de 5'509 fr., part au treizième salaire ainsi que primes inclues, et remboursements de frais professionnels déduits. Ici encore, ce grief doit être déclaré irrecevable, faute de motivation. L’appelant ne démontre en effet pas, par une indication de</w:t>
      </w:r>
    </w:p>
    <w:p>
      <w:r>
        <w:t>- 18 - calcul en référence aux pièces produites, comment il parvient à un autre résultat que le premier juge.</w:t>
      </w:r>
    </w:p>
    <w:p>
      <w:r>
        <w:rPr>
          <w:b/>
        </w:rPr>
        <w:t>E. 7.1</w:t>
      </w:r>
    </w:p>
    <w:p>
      <w:r>
        <w:t>Au vu de ce qui précède, l’appel doit être rejeté, dans la mesure où il est recevable.</w:t>
      </w:r>
    </w:p>
    <w:p>
      <w:r>
        <w:rPr>
          <w:b/>
        </w:rPr>
        <w:t>E. 7.2</w:t>
      </w:r>
    </w:p>
    <w:p>
      <w:r>
        <w:t>Les frais judiciaires de deuxième instance, arrêtés à 600 fr. (art. 65 al. 2 TFJC [tarif des frais judiciaires civils du 28 septembre 2010 ; BLV 270.11.5]), augmentés des frais d’interprète par 157 fr. 40, seront mis à la charge de l’appelant, qui succombe (art. 106 al. 1 CPC). Ce montant sera toutefois laissé provisoirement à la charge de l’Etat, l’appelant ayant été mise au bénéfice de l’assistance judiciaire pour la procédure d’appel (art. 122 al. 1 let. b CPC).</w:t>
      </w:r>
    </w:p>
    <w:p>
      <w:r>
        <w:rPr>
          <w:b/>
        </w:rPr>
        <w:t>E. 7.3</w:t>
      </w:r>
    </w:p>
    <w:p>
      <w:r>
        <w:t>Vu l’issue de l’appel, l’appelant versera à Me Quentin Beausire, conseil de l’intimée (cf. TF 4A_106/2021 du 8 août 2022 consid. 3.4), des dépens de deuxième instance fixés à 3'300 fr., l’assistance judiciaire accordée ne dispensant pas de verser des dépens (art. 118 al. 3 CPC).</w:t>
      </w:r>
    </w:p>
    <w:p>
      <w:r>
        <w:rPr>
          <w:b/>
        </w:rPr>
        <w:t>E. 7.4</w:t>
      </w:r>
    </w:p>
    <w:p>
      <w:r>
        <w:t>Me Samuel Thétaz, conseil d’office de l’appelant, a produit sa liste des opérations le 15 juin 2023 et a annoncé avoir lui-même consacré 2 heures et 23 minutes et sa stagiaire 22 heures et 35 minutes à la cause. Ce décompte peut être admis. Il s'ensuit que l’indemnité de Me Thétaz sera fixée à hauteur de 2'913 fr. 10 ([180 fr. x 2,383] + [110 fr. x 22,583]), montant auquel s'ajoutent les débours par 58 fr. 25 (2% ; art. 3bis al. 1 RAJ [règlement sur l'assistance judiciaire en matière civile du 7 décembre 2010 ; BLV 211.02.3]), les frais de vacation par 120 fr. et la TVA à 7.7% sur le tout par 238 fr. 05, soit à 3'329 fr. 40 au total.</w:t>
      </w:r>
    </w:p>
    <w:p>
      <w:r>
        <w:rPr>
          <w:b/>
        </w:rPr>
        <w:t>E. 7.5</w:t>
      </w:r>
    </w:p>
    <w:p>
      <w:r>
        <w:t>Pour le cas où l’intimée ne pourrait pas obtenir les dépens de la part de l’appelant, il y a également lieu de fixer l’indemnité d’office de son conseil d’office, Me Quentin Beausire. Celui-ci a produit sa liste des opérations le 23 juin 2023 et a annoncé avoir consacré 12,7 heures à la</w:t>
      </w:r>
    </w:p>
    <w:p>
      <w:r>
        <w:t>- 19 - cause. Ce décompte peut être admis. Il s'ensuit que l’indemnité de Me Beausire sera fixée à hauteur de 2'286 fr. (180 fr. x 12,7), montant auquel s'ajoutent les débours par 45 fr. 70 (2% ; art. 3bis al. 1 RAJ), les frais de vacation par 120 fr. et la TVA à 7.7% sur le tout par 188 fr. 80, soit à 2'640 fr. 50.</w:t>
      </w:r>
    </w:p>
    <w:p>
      <w:r>
        <w:rPr>
          <w:b/>
        </w:rPr>
        <w:t>E. 7.6</w:t>
      </w:r>
    </w:p>
    <w:p>
      <w:r>
        <w:t>Les bénéficiaires de l’assistance judiciaire sont tenus au remboursement des frais judiciaires et de l’indemnité due à leur conseil d’office mis provisoirement à la charge de l’Etat, dès qu’ils seront en mesure de le faire (art. 123 CPC). Il incombe à la Direction des affaires institutionnelles et des communes de fixer le principe et les modalités de ce remboursement (art. 39a CDPJ [Code du 12 janvier 2010 de droit privé judiciaire vaudois ; BLV 121.02]). Par ces motifs, le juge unique de la Cour d’appel civile prononce : I. L’appel est rejeté dans la mesure où il est recevable. II. L’ordonnance est confirmée. III. Les frais judiciaires de deuxième instance, arrêtés à 757 fr. 40 (sept cent cinquante francs et quarante centimes) à la charge de l’appelant R.________, sont provisoirement laissés à la charge de l'Etat. IV. L’appelant R.________ doit verser à l’intimée J.________ la somme de 3'300 fr. (trois mille trois cents francs) à titre de dépens.</w:t>
      </w:r>
    </w:p>
    <w:p>
      <w:r>
        <w:t>- 20 - V. L’indemnité due à Me Samuel Thétaz, conseil d’office de l’appelant R.________, est arrêtée à 3'329 fr. 40 (trois mille trois cent vingt-neuf francs et quarante centimes). VI. L’indemnité due à Me Quentin Beausire, conseil d’office de l’intimée J.________, est arrêtée à 2'640 fr. 50 (deux mille six cent quarante francs et cinquante centimes). VII. Les bénéficiaires de l’assistance judiciaire sont tenus au remboursement des frais judiciaires et de l’indemnité due à leur conseil d’office mis provisoirement à la charge de l’Etat, dès qu’ils seront en mesure de le faire. VIII. L’arrêt est exécutoire. Le juge unique : La greffière : Du Le présent arrêt, dont la rédaction a été approuvée à huis clos, est notifié en expédition complète à : - Me Samuel Thétaz (pour R.________) - Me Quentin Beausire (pour J.________), et communiqué, par l'envoi de photocopies, à : - M. le Président du Tribunal civil de l’arrondissement de Lausanne. Le juge unique de la Cour d’appel civile considère que la valeur litigieuse est supérieure à 30’000 francs.</w:t>
      </w:r>
    </w:p>
    <w:p>
      <w:r>
        <w:t>- 21 -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