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JS22.027671 vom 19. Juli 2023</w:t>
      </w:r>
    </w:p>
    <w:p>
      <w:r>
        <w:t>VD Tribunal cantonal, 2023-07-19, FR</w:t>
      </w:r>
    </w:p>
    <w:p>
      <w:r>
        <w:rPr>
          <w:b/>
        </w:rPr>
        <w:t xml:space="preserve">Quelle: </w:t>
      </w:r>
      <w:r>
        <w:t>https://mcp.opencaselaw.ch/entscheid/vd_gerichte_JS22.027671</w:t>
      </w:r>
    </w:p>
    <w:p>
      <w:r>
        <w:t>FR: VD_GERICHTE JS22.027671 du 19 juillet 2023</w:t>
      </w:r>
    </w:p>
    <w:p>
      <w:r>
        <w:t>IT: VD_GERICHTE JS22.027671 del 19 luglio 2023</w:t>
      </w:r>
    </w:p>
    <w:p>
      <w:pPr>
        <w:pStyle w:val="Heading2"/>
      </w:pPr>
      <w:r>
        <w:t>Erwägungen</w:t>
      </w:r>
    </w:p>
    <w:p>
      <w:r>
        <w:rPr>
          <w:b/>
        </w:rPr>
        <w:t>E. 3.1</w:t>
      </w:r>
    </w:p>
    <w:p>
      <w:r>
        <w:t>L’appelant reproche tout d’abord à la première juge d’avoir considéré qu’il était possible de revoir la convention de mesures protectrices de l’union conjugale du 27 septembre 2021, respectivement d’être entrée en matière sur la requête de l’intimée tendant à la modification de cette convention, cela sans la survenance de circonstances nouvelles.</w:t>
      </w:r>
    </w:p>
    <w:p>
      <w:r>
        <w:rPr>
          <w:b/>
        </w:rPr>
        <w:t>E. 3.2.1</w:t>
      </w:r>
    </w:p>
    <w:p>
      <w:r>
        <w:t>Une fois que des mesures protectrices de l'union conjugale ont été ordonnées, elles ne peuvent être modifiées qu'aux conditions de l'art. 179 CC.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si les faits qui ont fondé le choix des mesures provisoires dont la modification est sollicitée se sont révélés faux ou ne se sont par la suite pas réalisés comme prévus (ATF 129 III 60 consid. 2 ; TF 5A_436/2020 du</w:t>
      </w:r>
    </w:p>
    <w:p>
      <w:r>
        <w:rPr>
          <w:b/>
        </w:rPr>
        <w:t>E. 3.2.2</w:t>
      </w:r>
    </w:p>
    <w:p>
      <w:r>
        <w:t>Comme pour les effets du divorce (art. 279 CPC), la fixation de l’entretien dans le cadre de la procédure de mesures protectrice ou de</w:t>
      </w:r>
    </w:p>
    <w:p>
      <w:r>
        <w:t>- 17 - mesures provisionnelles en cas de divorce peut reposer sur une convention conclue entre les époux. Une convention permet aux parties de mettre fin définitivement à d’éventuelles incertitudes concernant les faits pertinents ou la portée juridique de ceux-ci. Dans la mesure où un jugement complet sur les faits et leur portée juridique est évité en cas de convention entre les parties, les points sur lesquels elles se sont mises d’accord demeurent en principe inchangés (ATF 142 III 518 consid. 2.5 ; cf. de Weck-Immelé, Modification d'une convention entre époux en mesures protectrices et provisionnelles : cherchez l'erreur !, Newsletter Droit matrimonial, été 2016). Les possibilités de modifier des mesures protectrices ou provisionnelles reposant sur une convention sont limitées. Les mêmes restrictions que celles qui découlent de la jurisprudence en matière de convention de divorce sont applicables (ATF 142 III 518 consid. 2.6 ; cf. de Weck-Immelé, ibidem.). Pour apprécier si les conditions d’une modification sont réalisées, lorsque la convention n’exprime pas les critères ni les bases de calcul de la contribution d’entretien, il appartient au juge de la modification d’interpréter la convention. Lorsque la volonté des parties ne peut pas être reconstituée, il convient de restituer la volonté présumée des époux, selon le principe de la confiance, c’est-à-dire d’interpréter la convention de la manière dont elle devrait être comprise d’après son sens littéral et son contexte en fonction de l’ensemble des circonstances (TF 5A_1027/2020 du 16 juillet 2021 consid. 3.3 ; TF 5C.197/2003 du 30 avril 2004 consid. 2.2).</w:t>
      </w:r>
    </w:p>
    <w:p>
      <w:r>
        <w:rPr>
          <w:b/>
        </w:rPr>
        <w:t>E. 3.3</w:t>
      </w:r>
    </w:p>
    <w:p>
      <w:r>
        <w:t>En l’espèce, la première juge a considéré, à la lecture du chiffre XII de la convention de mesures protectrices de l’union conjugale du 27 septembre 2021, que les parties avaient réservé la possibilité de demander que cette convention soit revue même sans élément nouveau. L’appelant soutient que cela ne serait pas le cas, la présidente s’étant selon lui livrée à une interprétation insoutenable de la clause précitée. A ce sujet, il expose le principe selon lequel, lorsqu’elles passent une</w:t>
      </w:r>
    </w:p>
    <w:p>
      <w:r>
        <w:t>- 18 - convention, les parties entendent régler tout ce qui dépend de circonstances qu’elles ignorent pour l’heure. Cet élément n’est toutefois pas pertinent dans le cas particulier. En effet, les parties ont expressément réservé dans la convention précitée la possibilité de modifier celle-ci – sans élément nouveau – dès que l’appelant aurait retrouvé du travail, mais au plus tard le 30 juin 2022. C’est à juste titre que la présidente a interprété ainsi le chiffre XII de la convention. Le texte de cette clause est parfaitement clair sur ce point et rien ne justifie de s’écarter de son sens littéral. Il est significatif à cet égard que l’appelant n’indique pas quel serait, selon lui, le sens réel de la clause en question. On relèvera encore que les arguments soulevés par l’appelant concernant le fait qu’une modification de la convention ne pourrait intervenir que pour des vices du consentement, à savoir en cas d’erreur, de dol ou de crainte fondée, sont sans pertinence aucune. En effet, l’intimée n’a jamais rien invoqué de tel, précisément parce que la convention litigieuse prévoyait sa propre modification. Partant, le grief est infondé et doit être rejeté. 4. 4.1 L’appelant fait grief à la présidente de lui avoir imputé un revenu hypothétique. 4.2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w:t>
      </w:r>
    </w:p>
    <w:p>
      <w:r>
        <w:t>- 19 - compte tenu des circonstances subjectives susmentionnées, ainsi que de son âge et du marché du travail ; il s’agit là d’une question de fait (ATF 137 III 118 consid. 2.3, JdT 2011 II 486 ; TF 5A_235/2016 du 15 août 2016 consid. 4.1 ; TF 5A_154/2016 du 19 mai 2016 consid. 5.1 et les références citées). En effet,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5A_332/2021 du 5 juillet 2022 consid. 3.1 ; TF 5A_944/2021 du 19 mai 2022 consid. 4.1 ; TF 5A_1026/2021 du 27 janvier 2022 consid. 4.1 ; TF 5A_754/2020 du 10 août 2021 consid. 4.3.2 ; TF 5A_645/2020 du 19 mai 2021 consid. 5.2.1).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 TF 5A_782/2016 du 31 mai 2017 consid. 5.3), pour autant qu’elles soient pertinentes par rapport aux circonstances d’espèce (TF 5A_690/2019 du 23 juin 2020 consid. 4.3.1 ; TF 5A_461/2019 du 6 mars 2020 consid. 3, publié in FamPra.ch 2020 p. 488 ; TF 5A_112/2013 du 25 mars 2013 consid. 4.1.3). 4.3 En l’espèce, l’appelant est âgé de 47 ans. Il a démissionné de son dernier emploi, auprès de la Banque [...], en 2014. Contrairement à ce qu’il prétend, et comme l’a retenu la présidente, il n’est pas établi qu’il l’ait fait pour s’occuper des enfants du couple, le dossier ne contenant aucun élément de preuve en ce sens. En outre, il n’est ni allégué nu établi que l’appelant souffrirait d’un problème de santé quelconque. Pour ce qui est de sa formation, l’appelant possède une expérience de plus de dix</w:t>
      </w:r>
    </w:p>
    <w:p>
      <w:r>
        <w:t>- 20 - dans le domaine bancaire, expérience qui lui a permis, avant qu’il ne démissionne de son emploi en 2014, de réaliser un revenu annuel brut de 101'400 fr., auquel s’ajoutait vraisemblablement un bonus discrétionnaire. A la suite d’une reconversion professionnelle, l’appelant dispose désormais de plusieurs formations, diplômes universitaires et certificats dans les domaines de l’économie d’entreprise et de l’informatique. Dans ces conditions, c’est à juste titre que la première juge a considéré qu’il y avait lieu de lui imputer un revenu hypothétique. En effet, ce n’est pas parce que l’appelant ne travaille pas depuis assez longtemps qu’il ne peut pas travailler. En particulier, il n’est pas établi que celui-ci aurait fourni tous les efforts que l’on pouvait raisonnablement attendre de lui pour retrouver une activité lucrative. Les 22 postulations que l’intéressé a produites en première instance – qui couvrent uniquement la période de janvier à mai 2022 (pièce 59) – sont insuffisantes à cet égard, d’autant plus qu’elles ne sont pas accompagnées des réponses des employeurs et que l’on ignore donc la suite qui y a été donnée. L’appelant, qui expose d’une part qu’il lui était impossible de trouver du travail, expose d’autre part en avoir trouvé un, dès le 1er décembre 2022, mais pour un salaire inférieur au revenu hypothétique de 8'075 fr. net par mois qui lui a été imputé par l’autorité de première instance. Il fait valoir que le salaire prévu dans le cadre de son nouvel emploi auprès de la banque [...] s’élève à 75'000 fr. brut par an, soit à 6'250 fr. brut par mois, ce qui correspondrait à un salaire mensuel net de 5'312 fr. 50. Son contrat de travail prévoit toutefois aussi l’octroi d’un bonus, et il est notoire que dans le domaine bancaire, une partie substantielle du salaire est payée sous cette forme. L’appelant affirme, sans l’ombre d’une justification, qu’il ne touchera pas de bonus en 2023. Il n’y a aucune raison de le penser, son contrat de travail n’indiquant rien de tel et aucune pièce n’ayant été produite aux fins d’établir cette affirmation. Pour le surplus, la manière selon laquelle la présidente a arrêté le revenu hypothétique de l’appelant ne prête pas le flanc à la critique. Ce dernier se borne à cet égard à relever que les données de l’Office fédéral</w:t>
      </w:r>
    </w:p>
    <w:p>
      <w:r>
        <w:t>- 21 - de la statistique (ci-après : l’OFS) sur lesquelles la présidente s’est fondée ne pourraient pas s’appliquer à son cas, dès lors qu’elles concerneraient des individus qui sont demeurés actifs professionnellement, alors que lui- même a été absent du marché du travail pendant huit ans. La présidente a toutefois tenu compte de cet élément, puisqu’elle a retenu un salaire légèrement inférieur à la valeur basse du salaire médian ressortant des statistiques salariales de l’OFS pour des individus comparables en âge et en formation à l’appelant, travaillant dans le domaine de l’informatique. En définitive, il n’y a aucune raison de revoir à la baisse le revenu de l’appelant qui a été retenu dans le prononcé entrepris. Il en résulte que les calculs des contributions d’entretien litigieuses qui ressortent du mémoire d’appel (cf. pp. 11 s) sont sans pertinence, en tant qu’ils sont fondés sur un revenu du prénommé qui est inférieur à celui qui doit être pris en compte.</w:t>
      </w:r>
    </w:p>
    <w:p>
      <w:r>
        <w:rPr>
          <w:b/>
        </w:rPr>
        <w:t>E. 5</w:t>
      </w:r>
    </w:p>
    <w:p>
      <w:r>
        <w:t>février 2021 consid. 4.1 ; TF 5A_617/2017 du 28 septembre 2017 consid. 3.1).</w:t>
      </w:r>
    </w:p>
    <w:p>
      <w:r>
        <w:rPr>
          <w:b/>
        </w:rPr>
        <w:t>E. 5.1</w:t>
      </w:r>
    </w:p>
    <w:p>
      <w:r>
        <w:t>L’appelant fait grief à la première juge d’avoir retenu, dans les charges de l’intimée, un montant d’impôt de 3'200 fr. par mois. Il fait valoir qu’il ressortirait de la décision de taxation 2021 que l’intimée payait 2'030 fr. par mois à ce titre, et que, sa situation n’ayant pas changé, c’est ce montant qui devrait être retenu plutôt qu’une « simulation fiscale purement abstraite ».</w:t>
      </w:r>
    </w:p>
    <w:p>
      <w:r>
        <w:rPr>
          <w:b/>
        </w:rPr>
        <w:t>E. 5.2</w:t>
      </w:r>
    </w:p>
    <w:p>
      <w:r>
        <w:t>On ignore d’où l’appelant tire ce montant de 2'030 francs. Il ressort en effet de la décision de taxation 2021, qui a été produite en première instance (cf. pièce 14), qu’au cours de cette année les impôts de l’intimée se sont élevés, y compris l’impôt fédéral direct mais sans compter l'impôt sur la fortune, à 40'046 fr. 05, ce qui équivaut à 3'337 fr. par mois. On relèvera au demeurant que la simulation effectuée par la première juge est sans doute en dessous de la réalité, puisque l’intimée ne</w:t>
      </w:r>
    </w:p>
    <w:p>
      <w:r>
        <w:t>- 22 - paie désormais plus de contribution d’entretien pour son époux, contrairement à ce qui était encore le cas en 2021. Au vu de ce qui précède, la charge fiscale de l’intimée retenue dans le prononcé entrepris ne paraît en aucun cas surévaluée, de sorte que le grief doit être rejeté.</w:t>
      </w:r>
    </w:p>
    <w:p>
      <w:r>
        <w:rPr>
          <w:b/>
        </w:rPr>
        <w:t>E. 6.1</w:t>
      </w:r>
    </w:p>
    <w:p>
      <w:r>
        <w:t>L’appelant critique ensuite le fait que la présidente a déduit les cotisations au troisième pilier de l’intimée, de 291 fr. 65 par mois, ainsi que l’épargne qu’elle réalisait, de 3'000 fr. par mois, au moment de calculer la répartition de l’excédent. Il fait valoir que ces montants devraient être pris en compte dans l’excédent de l’intimée, arguant qu’à défaut il suffirait à une partie de constituer de l’épargne via un troisième pilier pour échapper à ses obligations.</w:t>
      </w:r>
    </w:p>
    <w:p>
      <w:r>
        <w:rPr>
          <w:b/>
        </w:rPr>
        <w:t>E. 6.2</w:t>
      </w:r>
    </w:p>
    <w:p>
      <w:r>
        <w:t>La présidente n’a pas tenu compte des cotisations au troisième pilier de l’intimée dans les charges de celle-ci, ce qui est juste. Elle a en effet tenu compte de l’entier du disponible de l’intimée, de 7'166 fr. 40 (cf. prononcé, p. 19), pour calculer la prise en charge des coûts directs des enfants (cf. prononcé, pp. 22-23). Ce n’est qu’ensuite, au moment de répartir l’excédent, qu’elle a déduit les deux montants précités, représentant l’épargne 3ème pilier réalisée par l’intéressée (cf., prononcé p. 23). Il n’y a rien de critiquable à cela. L’appelant recevra sa part de cette épargne lors de la liquidation du régime matrimonial. Il n’y a aucune raison qu’il reçoive cette part deux fois, une première fois sous forme de participation à l’excédent, et une deuxième fois lorsque le régime matrimonial sera liquidé (cf. Stoudmann, Le divorce en pratique, 2e éd., 2023, p. 206 et les références). Au vu de ce qui précède, le grief doit être rejeté.</w:t>
      </w:r>
    </w:p>
    <w:p>
      <w:r>
        <w:t>- 23 -</w:t>
      </w:r>
    </w:p>
    <w:p>
      <w:r>
        <w:rPr>
          <w:b/>
        </w:rPr>
        <w:t>E. 7</w:t>
      </w:r>
    </w:p>
    <w:p>
      <w:r>
        <w:t>En définitive, l’appel se révèle manifestement infondé et doit être rejeté en application de l’art. 312 al. 1 in fine CPC, le prononcé entrepris étant confirmé. Les frais judiciaires de deuxième instance, arrêtés à 1'200 fr. (art. 63 al. 2 TFJC [tarif des frais judiciaires civils du 28 septembre 2010 ; BLV 270.11.5]), seront mis à la charge de l’appelant, qui succombe (art. 106 al. 1 CPC). Il n’y a pas lieu à l’allocation de dépens, l’intimée n’ayant pas été invitée à se déterminer. Par ces motifs, le Juge unique de la Cour d’appel civile prononce : I. L’appel est rejeté. II. Le prononcé est confirmé . III. Les frais judiciaires de deuxième instance, arrêtés à 1'200 fr. (mille deux cents francs), sont mis à la charge de l’appelant A.A.________. IV. L’arrêt est exécutoire. Le juge unique : Le greffier :</w:t>
      </w:r>
    </w:p>
    <w:p>
      <w:r>
        <w:t>- 24 - Du Le présent arrêt, dont la rédaction a été approuvée à huis clos, est notifié en expédition complète à : - Me Bertrand Gygax (pour A.A.________), - Me Patricia Michellod (pour B.A.________),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