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JS22.024570 vom 27. Mai 2025</w:t>
      </w:r>
    </w:p>
    <w:p>
      <w:r>
        <w:t>VD Tribunal cantonal, 2025-05-27, FR</w:t>
      </w:r>
    </w:p>
    <w:p>
      <w:r>
        <w:rPr>
          <w:b/>
        </w:rPr>
        <w:t xml:space="preserve">Quelle: </w:t>
      </w:r>
      <w:r>
        <w:t>https://mcp.opencaselaw.ch/entscheid/vd_gerichte_JS22.024570</w:t>
      </w:r>
    </w:p>
    <w:p>
      <w:r>
        <w:t>FR: VD_GERICHTE JS22.024570 du 27 mai 2025</w:t>
      </w:r>
    </w:p>
    <w:p>
      <w:r>
        <w:t>IT: VD_GERICHTE JS22.024570 del 27 maggio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décembre 2022 par le Président du Tribunal civil de l’arrondissement de Lausanne et modifiée par prononcé rectificatif du 10 décembre 2024 dans la cause divisant l’appelant d’avec C.D.________, née [...], et L.________, toutes deux à [...], le Juge unique de la Cour d’appel civile du Tribunal cantonal considère : 1107</w:t>
      </w:r>
    </w:p>
    <w:p>
      <w:r>
        <w:t>- 2 - En fait et e n droi 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