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JS22.016990 vom 13. März 2023</w:t>
      </w:r>
    </w:p>
    <w:p>
      <w:r>
        <w:t>VD Tribunal cantonal, 2023-03-13, FR</w:t>
      </w:r>
    </w:p>
    <w:p>
      <w:r>
        <w:rPr>
          <w:b/>
        </w:rPr>
        <w:t xml:space="preserve">Quelle: </w:t>
      </w:r>
      <w:r>
        <w:t>https://mcp.opencaselaw.ch/entscheid/vd_gerichte_JS22.016990</w:t>
      </w:r>
    </w:p>
    <w:p>
      <w:r>
        <w:t>FR: VD_GERICHTE JS22.016990 du 13 mars 2023</w:t>
      </w:r>
    </w:p>
    <w:p>
      <w:r>
        <w:t>IT: VD_GERICHTE JS22.016990 del 13 marzo 2023</w:t>
      </w:r>
    </w:p>
    <w:p>
      <w:pPr>
        <w:pStyle w:val="Heading2"/>
      </w:pPr>
      <w:r>
        <w:t>Erwägungen</w:t>
      </w:r>
    </w:p>
    <w:p>
      <w:r>
        <w:rPr>
          <w:b/>
        </w:rPr>
        <w:t>E. 22</w:t>
      </w:r>
    </w:p>
    <w:p>
      <w:r>
        <w:t>septembre 2015 consid. 2.2). Le large pouvoir d’examen en fait et en droit ainsi défini s’applique même si la décision attaquée est de nature provisionnelle (JdT 2011 III 43 précité op. cit.). Le juge des mesures protectrices de l’union conjugale statue sur la base de la simple vraisemblance après une administration limitée des preuves (ATF 138 III 97 consid. 3.4.2 ; ATF 127 III 474 consid. 2b/bb ; TF 5A_466/2019 du 25 septembre 2019 consid. 4.2). 2.2 2.2.1 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w:t>
      </w:r>
    </w:p>
    <w:p>
      <w:r>
        <w:t>- 13 - consid. 3.2.1), l’autorité cantonale n’outrepasse pas son pouvoir d’appréciation lorsqu’il modifie d’office les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précité consid. 5.3.1). En revanche, en ce qui concerne les questions relatives aux enfants, l’art. 296 al. 3 CPC impose la maxime d’office (TF 5A_608/2014 du 16 décembre 2014 consid. 4.2.1 ; TF 5A_194/2012 du 8 mai 2012 consid. 4.2 ; Juge délégué du 20 février 2015/136 consid. 3 ; Tappy, Commentaire romand, Code de procédure civile [CR-CPC], 2e éd. 2019, n. 6 ad art. 272 CPC ; Bohnet, CPra Matrimonial, 2016, nn. 29 s. ad art. 276 CPC) ; dans ce cadre, le juge ordonne les mesures nécessaires sans être lié par les conclusions des parties et même en l’absence de conclusions (ATF 128 III 411 précité consid. 3.1 et les réf. citées). Aux termes de l’art. 282 al. 2 CPC, lorsque l’appel porte sur la contribution d’entretien allouée au conjoint, la juridiction d’appel peut également réexaminer les contributions d’entretien allouées aux enfants, même si elles ne font pas l’objet de l’appel. L’inverse n’est en revanche</w:t>
      </w:r>
    </w:p>
    <w:p>
      <w:r>
        <w:t>- 14 - pas possible de sorte que si seule la situation des enfants est revue en appel, la contribution d’entretien du conjoint, qui n’a pas été contestée, ne peut être revue (ATF 129 III 417 consid. 2.1.1 ; ATF 128 III 411 précité consid. 3.2.2 ; TF 5A_478/2017 du 7 juin 2018 consid. 5, FamPra.ch 2018 p. 1014 ; TF 5A_524/2017 du 9 octobre 2017 consid. 3.1, RSPC 2018 p. 16 ; TF 5A_132/2014 du 20 juin 2014 consid. 3.1.3 ; TF 5A_361/2011 précité consid. 5.3.3, RSPC 2012 p. 196). Cette disposition est toutefois de nature potestative et il n’y a pas lieu d’en faire application au détriment de l’enfant (Juge délégué CACI 12 octobre 2018/571 ; Tappy, CR-CPC, n. 14 ad art. 282 CPC et les réf. citées). L’art. 282 al. 2 CPC est en effet une exception en faveur des enfants uniquement (TF 5A_582/2020 du 7 octobre 2021 consid. 6.2.3). 2.2.2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w:t>
      </w:r>
    </w:p>
    <w:p>
      <w:r>
        <w:rPr>
          <w:b/>
        </w:rPr>
        <w:t>E. 24</w:t>
      </w:r>
    </w:p>
    <w:p>
      <w:r>
        <w:t>juin 2015 consid. 2.2.2). Lorsque la procédure est soumise à la maxime inquisitoire illimitée (art. 296 al. 1 CPC), les parties peuvent présenter des nova en appel même si les conditions de l’art. 317 al. 1 CPC ne sont pas réunies (ATF 144 III 349 consid. 4.2.1 ; TF 5A_582/2020 précité consid. 4.1.4 ; TF 5A_67/2020 précité consid. 3.3.1 et les réf. citées). 2.3 En l’espèce, une partie de l’appel porte sur la fixation du droit de visite de l’enfant mineure du couple, de sorte que les maximes inquisitoire illimitée et d’office sont applicables. S’agissant toutefois de la question qui a trait à la fixation de la contribution d’entretien de l’épouse,</w:t>
      </w:r>
    </w:p>
    <w:p>
      <w:r>
        <w:t>- 15 - les maximes de disposition et des débats sont applicables et les conditions de l’art. 317 CPC doivent ainsi être réalisées. L’appelante a produit trois pièces à l’appui de son appel, à savoir l’ordonnance entreprise qui est une pièce de forme et qui est donc recevable. Elle a également produit deux pièces en lien avec des estimations de loyer. Dans la mesure où ces pièces auraient pu être produites en première instance et que l’appelante n’a au demeurant pas établi que les conditions de l’art. 317 CPC seraient réalisées, ces pièces sont irrecevables. Quant aux pièces produites par l’intimé, à savoir ses décomptes de salaire pour les mois d’août à octobre 2022, celles-ci sont nouvelles et sont recevables. Il en sera tenu compte dans la mesure utile. 3. 3.1 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consid. 4.3.1 ; TF 5A_356/2020 du 9 juillet 2020 consid. 3.2 ; TF 5A_573/2017 du 19 octobre 2017 consid. 3.1 ; TF 5A_396/2013 du 26 février 2014 consid. 5.3.1). Il n’est cependant pas exigé que le numéro de page ou le considérant critiqué soit expressément mentionné, lorsque le grief peut être sans autres attribué à un passage déterminé de la décision (TF 4A_142/2017 du 3 août 2017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w:t>
      </w:r>
    </w:p>
    <w:p>
      <w:r>
        <w:t>- 16 -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5A_577/2020 du 16 décembre 2020 consid. 5 ; TF 5A_356/2020 précité consid. 3.2 ; TF 4A_396/2019 du 16 janvier 2020 consid. 3.3.1).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 TF 5A_488/2015 du 21 août 2015 consid. 3.2.2 ; TF 4A_659/2011 précité consid. 5, RSPC 2012 p. 128). Il en va de même de l’art. 56 CPC, qui concerne les allégations de fait et n’est donc pas applicable en cas d’absence de motivation d’un acte de recours (TF 5A_483/2018 du 23 octobre 2018 consid. 3.2). 3.2 Dans une partie de son appel relative à l’exercice du droit de visite de l’intimé sur sa fille C.M.________, l’appelante s’est bornée à reprendre une déclaration de l’intimé lors de son interrogatoire par la</w:t>
      </w:r>
    </w:p>
    <w:p>
      <w:r>
        <w:t>- 17 - police le 5 mars 2022 et a allégué qu’elle s’était occupée de son enfant et du ménage pendant toute la durée de la vie commune, sans expliquer en quoi son argumentation pourrait influer sur la solution retenue par le président, de sorte que cette partie de l’appel est irrecevable. En effet, elle n’explique ni ne démontre que sa thèse l’emporterait sur celle de la décision attaquée et que, sur les faits constatés ou sur les conclusions juridiques qui en ont été tirées, la décision attaquée serait entachée d’erreurs, se contentant de faire des remarques générales à ce sujet. En définitive, la motivation de l’appel ne permet pas le réexamen de l’ordonnance entreprise sur la question du droit de visite de l’intimé sur sa fille, celle-ci étant insuffisante et constituant un vice irréparable. 4. Violation du droit d’être entendu 4.1 Dans un premier grief, l’appelante se prévaut d’une violation de son droit d’être entendue. A ce titre, elle prétend qu’elle aurait requis, dans son courrier du 22 septembre 2022, à ce qu’il soit ordonné à l’intimé de produire les extraits de la société U.I.________ Sàrl auprès de [...] SA concernant le compte [...] et auprès de la [...] concernant le compte [...] pour la période du 15 décembre 2021 au 8 février 2022, période qui se situe entre la vente du fonds de commerce de la société U.I.________ Sàrl et le paiement du montant de 80’000 fr., et que le premier juge n’aurait pas donné suite à cette réquisition. L’intimé soutient quant à lui que, lors de l’audience du 17 août 2022, l’instruction aurait été formellement clôturée, le seul complément prévu consistant en la production, par l’intimé, de « toutes pièces permettant d’établir la traçabilité du montant reçu à titre de vente des actifs et passifs de U.I.________ Sàrl, ainsi que de toutes pièces permettant d’établir que des salaires ont été versés de manière effective à la requérante par A.I.________ Sàrl». Il relève que les premières pièces auraient été produites dans un bordereau du 21 septembre 2022 et que la</w:t>
      </w:r>
    </w:p>
    <w:p>
      <w:r>
        <w:t>- 18 - réquisition de l’appelante, outre tardive, aurait été inutile. De plus, il soutient que le premier juge devait se prononcer sur la base de la simple vraisemblance après une administration limitée des preuves, ce qu’il aurait fait dans le cas d’espèce, de sorte que le droit d’être entendue de l’appelante n’aurait pas été violé. 4.2 4.2.1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w:t>
      </w:r>
    </w:p>
    <w:p>
      <w:r>
        <w:t>- 19 -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4.2.2 S’agissant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5A_745/2015 du 15 juin 2016 consid. 4.3.2.3 ; TF 5A_445/2014 du 28 août 2014 consid. 2.1 ; Tappy, CR-CPC, n.</w:t>
      </w:r>
    </w:p>
    <w:p>
      <w:r>
        <w:rPr>
          <w:b/>
        </w:rPr>
        <w:t>E. 27</w:t>
      </w:r>
    </w:p>
    <w:p>
      <w:r>
        <w:t>ad art. 229 CPC et les réf. citées). Le droit à la preuve suppose qu’un fait doive être prouvé (art. 150 al. 1 CPC), qu’il soit pertinent, qu’il ne soit pas déjà prouvé, qu’il soit allégué de manière suffisamment motivée (TF 5A_753/2018 du 1er juillet 2019 consid. 2.1.1.1), que la preuve en ait été régulièrement offerte en temps utile selon les règles de la procédure et que les moyens de preuve soient admissibles et adéquats (ATF 143 III 297 consid. 9.3.2 ; ATF 135 III 295 consid. 7.1 ; TF 5A_753/2018 précité consid. 2.1.1.1 ; TF 5A_113/2018 du 12 septembre 2018 consid. 4.2.1.1, non publié à l’ATF 144 III 541). Il implique en d’autres termes que toute personne a droit, pour établir un fait pertinent contesté, de faire administrer les moyens de preuve adéquats, pour autant qu’ils aient été proposés régulièrement et en temps utile (ATF 144 II 427 consid. 3.1 ; ATF 143 III 297 précité consid. 9.3.2).</w:t>
      </w:r>
    </w:p>
    <w:p>
      <w:r>
        <w:t>- 20 - 4.3 En l’espèce, lors de l’audience du 17 août 2022, le président avait clairement indiqué aux parties que l’instruction était close et qu’un délai serait imparti à l’intimé afin qu’il produise certaines pièces, avant que l’ordonnance querellée ne soit rendue. Le 22 septembre 2022, soit plusieurs semaines après que l’instruction ait été close par le président, l’appelante a effectivement requis la production de certaines pièces en mains de l’intimé, lesquelles ont été requises une nouvelle fois en appel et rejetées par appréciation anticipée des preuves par courrier du 22 novembre 2022 de la juge unique (cf. également infra consid. 5.4.2). Au vu de ces éléments et de la chronologie des faits, la réquisition de l’appelante était tardive, dès lors que le président pouvait admettre des faits et moyens de preuve nouveaux jusqu’aux délibérations, soit jusqu’à l’audience du 17 août 2022, à l’exception des pièces dont il avait expressément requis la production. Le droit d’être entendue de l’appelante n’a dès lors pas été violé. Quoi qu’il en soit, il peut être constaté que le président a rejeté implicitement les réquisitions de pièces de l’appelante, dès lors qu’il a relevé, au considérant 7 cc) de l’ordonnance entreprise, que « [q]uant à la vente du fonds de commerce, les pièces produites par l’intimé ont suffi à rendre vraisemblable qu’il ne s’était pas enrichi de cette opération. Le transfert des sommes de 20’000 fr. et de 80’000 fr. à A.I.________ Sàrl a pu être tracé » et qu’il disposait en outre d’un justificatif de versement et d’une preuve de transfert concernant ces deux montants. 5. Revenus de l’intimé 5.1 L’appelante fait grief au premier juge d’avoir arrêté le revenu mensuel net de l’intimé à 9’406 fr. 75, sans avoir pris en compte, en sus, du prétendu salaire versé en sa faveur à hauteur de 1’603 fr. par A.I.________ Sàrl et du montant encaissé à la suite de la vente du fonds de commerce de l’entreprise U.I.________ Sàrl.</w:t>
      </w:r>
    </w:p>
    <w:p>
      <w:r>
        <w:t>- 21 - 5.2 5.2.1 Même lorsqu’on ne peut plus sérieusement compter sur la reprise de la vie commune, l’art. 163 CC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(TF 5A_1043/2017 du 31 mai 2018 consid. 3.1 et les réf. citées).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5.2.2 S’agissant de la détermination des ressources du débirentier, qui maîtrise économiquement une société, se pose la question de savoir comment prendre en considération cette dernière. En principe, il faut prendre en compte l’indépendance juridique d’une personne morale :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(ATF 128 II 329 consid. 2.4 ; TF 1B_274/2012 du 11 juillet 2012 consid. 2.2 ; TF 4A_417/2011 du 22 décembre 2011 consid.</w:t>
      </w:r>
    </w:p>
    <w:p>
      <w:r>
        <w:t>- 22 - 1.1). Le même raisonnement vaut pour la société à responsabilité limitée (TF 4A_155/2017 du 12 octobre 2017 consid. 5.1). Toutefois,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4A_155/2017 précité ; TF 5A_ 506/2014 du 23 octobre 2014 consid. 4.2.2 ; TF 5A_696/2011 du 28 juin 2012 consid. 4.1.2, in FamPra.ch 2012 p. 1128 et réf. à ATF 121 III 319 consid. 5a/aa).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5A_392/2014 du 20 août 2014 consid. 2.2 ; TF 5P.127/2003 du 4 juillet 2003 consid. 2.2., in FamPra.ch 2004 p. 909). A ce titre,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(TF 5A_1048/2021 du 11 octobre 2022 consid. 4.2 ; TF 5A_20/2020 du 28 août 2020 consid. 3.3 ; TF 5A_396/2013 du 26 février 2014 consid. 3.2.2 ; TF 5A_384/2014 du 15 décembre 2014 consid. 2.1). 5.3 En l’occurrence, le premier juge a retenu que, s’agissant de l’argent versé à l’appelante par A.I.________ Sàrl, si ces opérations s’expliquaient auparavant par la volonté de l’intimé d’intégrer sa femme dans le monde professionnel et de lui constituer une retraite, rien au dossier ne laissait penser que l’intimé avait continué à retirer cet argent</w:t>
      </w:r>
    </w:p>
    <w:p>
      <w:r>
        <w:t>- 23 - des comptes de sa société pour le conserver, de sorte que ce montant ne devait pas être ajouté à ses revenus mensuels. Quant à la vente du fonds de commerce U.I.________ Sàrl, le président a constaté que les pièces produites par l’intimé avaient suffi à rendre vraisemblable qu’il ne s’était pas enrichi de cette opération, le transfert des sommes de 20’000 fr. et de 80’000 fr. à A.I.________ Sàrl ayant pu être tracé. Par ailleurs, il a retenu que ces sommes avaient permis de rembourser la majeure partie d’un prêt consacré par la société précitée à U.I.________ Sàrl, à hauteur de 102’675 fr. 55. 5.4 5.4.1 Dans un premier grief, l’appelante reproche au premier juge d’avoir constaté de manière inexacte le fait qu’elle aurait prétendu que l’intimé garderait désormais pour lui l’argent qu’il lui donnait au titre de salaire du temps de leur vie commune, dès lors qu’elle n’aurait jamais admis qu’elle recevait personnellement un tel salaire. Elle prétend que ce prétendu salaire ne lui aurait jamais été versé et que, malgré la réquisition de pièce du président à ce titre, lequel avait imparti un délai à l’intimé pour produire « toutes pièces permettant d’établir que des salaires ont été versés de manière effective à la requérante par A.I.________ Sàrl », aucune suite n’aurait été donnée par l’intimé. Par ailleurs, elle relève que, dans son courrier du 8 juillet 2022, elle aurait indiqué qu’elle n’avait jamais travaillé pour le compte de l’intimé ou pour le compte de l’une de ses sociétés. En l’espèce, l’appelante a produit en première instance ses relevés bancaires auprès de la [...] pour la période des mois de janvier à novembre 2021. Il ressort de ces extraits qu’elle n’a perçu aucun montant de l’une des sociétés de l’intimé durant cette période, et plus particulièrement le prétendu salaire fictif à hauteur de 1’603 fr., ce qui corrobore ses dires lorsqu’elle allègue le fait qu’elle n’aurait jamais travaillé pour l’une des sociétés de son époux, l’inverse ne ressortant d’ailleurs pas de l’état de fait de l’ordonnance querellée.</w:t>
      </w:r>
    </w:p>
    <w:p>
      <w:r>
        <w:t>- 24 - Selon le relevé du compte bancaire dont l’intimé est titulaire auprès de la [...], au mois de décembre 2021, il a notamment perçu de sa société A.I.________ Sàrl la somme de 1’603 fr. au titre de « SALAIRE A.M.________ DECEMBRE 2021 ». Quant aux autres relevés bancaires produits par l’intimé, concernant les mois de novembre 2021 à avril 2022, ils ne font pas mention de ce salaire fictif, étant précisé que ces relevés sont incomplets. Il ressort toutefois des pièces produites au dossier que ces salaires fictifs ont été déclarés auprès de l’Administration fiscale, ainsi qu’à la Caisse de compensation, comme étant des revenus perçus par l’appelante. Au vu de ce qui précède et au stade des mesures protectrices de l’union conjugale, procédure qui se veut sommaire, on ne saurait intégrer ces revenus dans le budget mensuel de l’appelante ou de l’intimé. En effet, quand bien même l’appelante bénéficiera de prestations grâce aux salaires fictifs déclarés, alors qu’elle n’a jamais travaillé pour le compte de la société A.I.________ Sàrl, ce que les parties admettent, les pièces produites au dossier démontrent qu’elle n’a pas perçu personnellement ces revenus fictifs. Quant à l’intimé, même s’il ressort de l’instruction que ces montants ont été utilisés pour l’entretien de la famille durant la vie commune, aucune pièce au dossier ne permet de retenir, sous l’angle de la vraisemblance, que l’intimé aurait continué à retirer cet argent après la séparation des parties pour le conserver, ce d’autant que l’intimé a expliqué au premier juge avoir procédé de la sorte pour favoriser l’intégration professionnelle de l’appelante et lui assurer une retraite. Par ailleurs, les pièces produites au dossier ne permettent pas de prouver le fait que l’intimé aurait perçu mensuellement et sur plusieurs années ce montant. Pour ces raisons et dans la mesure où on ne saurait requérir de l’intimé que sa société continue de verser ces montants, alors qu’ils ne représentaient pas la contrepartie d’une prestation fournie auprès de sa société A.I.________ Sàrl, ils ne seront pas ajoutés aux revenus mensuels de l’intimé.</w:t>
      </w:r>
    </w:p>
    <w:p>
      <w:r>
        <w:t>- 25 - En définitive, les faits établis par le premier juge, de même que les conséquences juridiques, ne prêtent pas le flanc à la critique. Le grief soulevé par l’appelante doit ainsi être rejeté. 5.4.2 L’appelante soutient en outre que les pièces produites par l’intimé quant à la vente du fonds de commerce U.I.________ Sàrl ne respecteraient pas les conditions les plus élémentaires de l’art. 957a CO, à savoir notamment le principe de régularité, et ne permettraient pas la vérification de la transaction. Elle met en doute le fait que le bénéficiaire effectif de cette vente soit la société de l’intimé A.I.________ Sàrl. Elle indique dès lors que si l’intimé n’arrivait pas à apporter la preuve que le montant de 100’000 fr. aurait effectivement été versé à sa société, celui-ci devrait être porté à son revenu effectif. Comme l’a à juste titre constaté le premier juge, le 15 décembre 2021, l’intimé a procédé à la vente du fonds de commerce d’U.I.________ Sàrl pour un prix de 100’000 francs. Il ressort des pièces produites au dossier que, le 8 février 2022, 80’000 fr. ont été débités du compte [...]e d’U.I.________ Sàrl et ont été crédités sur le compte [...] d’A.I.________ Sàrl. Par ailleurs, le 21 février 2022, 20’000 fr. ont été transférés du compte [...] de l’intimé au compte bancaire dont est titulaire [...] auprès de la [...]. Les deux montants ont ainsi bel et bien été crédités sur le compte bancaire dont A.I.________ Sàrl est bénéficiaire, de sorte qu’au stade de la vraisemblance il sera retenu que l’intimé ne s’est effectivement pas enrichi de cette opération. Il a au demeurant été rendu vraisemblable que ces montants auraient permis de rembourser la majeure partie du prêt octroyé par A.I.________ Sàrl à U.I.________ Sàrl. A ce titre, la réquisition de pièces de l’appelante formulée en appel doit en définitive être formellement rejetée, dès lors que les pièces produites au dossier sont aptes à établir ce fait (cf. supra consid. 4.3). En effet, le fait que les pièces ne respecteraient éventuellement pas le principe de régularité ne sauraient enlever toute force probante à celles-ci. Au demeurant, il est également relevé ici que, même si l’appelante requerrait la mise en œuvre d’une expertise comptable, afin</w:t>
      </w:r>
    </w:p>
    <w:p>
      <w:r>
        <w:t>- 26 - de déterminer si les montants perçus par la société A.I.________ Sàrl sont bel et bien en lien avec la vente de la société U.I.________ Sàrl, celle-ci ne saurait toutefois pas être mise en œuvre dans le cadre des mesures protectrices de l’union conjugale (Chaix, Commentaire romand, n. 7 ad art. 176 CC ; Juge délégué CACI 25 août 2011/211), laquelle est provisoire et repose sur la vraisemblance des faits allégués sur la base des pièces à disposition. En définitive, les griefs invoqués à ce titre par l’appelante doivent être rejetés. 6. Charges mensuelles de l’intimé 6.1 L’appelante conteste ensuite certaines charges retenues par le premier juge dans le budget mensuel de l’intimé. 6.2 6.2.1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w:t>
      </w:r>
    </w:p>
    <w:p>
      <w:r>
        <w:t>- 27 -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6.2.2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précité consid. 5.6 ; TF 5A_441/2019 du 25 octobre 2019 consid. 3.2.2). 6.2.3 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w:t>
      </w:r>
    </w:p>
    <w:p>
      <w:r>
        <w:t>- 28 - d’un pourcentage du loyer effectif adapté au nombre d’enfants et au montant du loyer (TF 5A_271/2012 du 12 novembre 2012 consid. 3.2.2) pour autant que celui-ci ne soit pas disproportionné au regard des besoins et de la situation économique concrète (ATF 129 III 526 consid. 3 ; TF 5A_767/2016 du 30 janvier 2017 consid. 3.1. ; dans le cas contraire, le loyer doit être ramené à la limite admissible : TF 5A_1029/2015 du 1er juin 2016 consid. 4.3.1) et à déduire des coûts de logement du parent gardien (TF 5A_464/2012 du 30 novembre 2012 consid. 4.6.3 ; CACI 27 septembre 2021/469 consid. 3.3.2) ou des deux parents en cas de garde alternée (TF 5A_583/2018 précité op. cit.)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6.2.4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w:t>
      </w:r>
    </w:p>
    <w:p>
      <w:r>
        <w:t>- 29 -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précité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d’impôts suppose une répartition proportionnelle des impôts dus en fonction des revenus du parent bénéficiaire et de ceux de l’enfant mineur. Cette méthode paraît avoir la préférence du Tribunal fédéral en raison de sa simplicité (ATF 147 III 457</w:t>
      </w:r>
    </w:p>
    <w:p>
      <w:r>
        <w:t>- 30 -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 6.2.5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 Par ailleurs, l’entretien</w:t>
      </w:r>
    </w:p>
    <w:p>
      <w:r>
        <w:t>- 31 - d’enfants majeurs peut constituer une circonstance importante justifiant de s’écarter de la règle générale de la répartition par moitié de l’excédent (TF 5A_36/2016 du 29 mars 2016 consid. 3). 6.2.6 L’ordre de priorité des contributions découlant de la loi et de la jurisprudence est le suivant : il convient en premier lieu de couvrir les coûts directs des enfants mineurs, puis leur contribution de prise en charge, puis l’éventuel entretien entre (ex-)conjoints et finalement l’entretien de l’enfant majeur, qui doit céder le pas non seulement au minimum vital du droit des poursuites, mais également au minimum vital du droit de la famille des autres ayants droit. S’il reste un excédent après couverture du minimum vital du droit de famille du débiteur, ainsi que des enfants mineurs et du conjoint, les parents doivent alors, avec les moyens restants, assurer l’entretien de l’enfant majeur. Ce n’est que s’il reste encore des ressources après avoir également couvert le minimum vital du droit de famille de l’enfant majeur que l’excédent peut être réparti en équité entre les autres ayants droit dont le conjoint, à l’exclusion de l’enfant majeur (Juge unique CACI 6 octobre 2022/505), l’entretien de l’enfant majeur étant limité au minimum vital du droit de la famille, auquel il faut ajouter les frais de formation (ATF 147 III 265 précité consid. 7.2). Ainsi, il ne peut y avoir un excédent à répartir auprès des autres membres de la famille que lorsque le devoir d’entretien envers l’enfant majeur est rempli, étant précisé que l’enfant majeur ne participe pas à l’excédent éventuel (ATF 147 III 265 précité consid. 7.3 ; TF 5A_1035/2020 du 31 janvier 2022 consid. 3.3.7). 6.3 6.3.1 L’appelante reproche au premier juge d’avoir retenu un loyer de 2’550 fr. (3’000 fr. – la participation de E.M.________) dans le budget mensuel de l’intimé, alors que le montant de son loyer a été arrêté à 1’430 francs. Elle indique que les parties auraient convenu, lors de l’audience du 23 mai 2022, de fixer le loyer d’un potentiel appartement pour l’appelante et sa fille C.M.________ à 1’700 f., de sorte que ni la solidarité entre époux ni l’égalité entre les enfants ne justifierait une si importante disparité entre les loyers des parties.</w:t>
      </w:r>
    </w:p>
    <w:p>
      <w:r>
        <w:t>- 32 - Le premier juge a retenu le loyer effectif payé par l’intimé, malgré la disproportion dudit loyer vis-à-vis de celui de l’appelante, aux motifs qu’il avait conservé l’ancien domicile conjugal de cinq pièces et demie et qu’il y accueillait régulièrement C.M.________, de même que ses deux filles aînées. Ainsi, la taille de ce logement se justifiait, celui-ci correspondant au demeurant parfaitement au prix du marché actuel. Comme l’a rappelé l’intimé, seuls les frais de logement effectifs ou raisonnables doivent être pris en considération dans le calcul du minimum vital élargi.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 TF 5A_767/2016 précité consid. 3.1.1 ; TF 5A_1029/2015 précité consid. 4.3.1 ; TF 5A_365/2014 du 25 juillet 2014 consid. 3.1), ainsi qu’aux prix moyens de location d’un objet de même taille dans la localité (Juge délégué CACI 27 septembre 2021/469 précité ; Juge délégué CACI 31 août 2021/417). En l’espèce, même si la quotité du loyer de l’intimé est certes élevée, elle n’est cependant pas insoutenable compte tenu des circonstances du cas d’espèce exposées par le premier juge et qui peuvent être reprises ici. En effet, l’intimé a conservé l’ancien logement familial – dont le loyer correspond au marché actuel – et il y accueille régulièrement ses trois filles. L’intimé dispose d’ailleurs des moyens pour financer tant les coûts directs de l’enfant mineur du couple, que la contribution de prise en charge, de sorte que la prise en compte du loyer effectif n’a pas pour effet de limiter l’intimé dans sa capacité à contribuer à l’entretien des siens. Comme l’a soulevé l’intimé, l’appelante avait, dans sa requête de mesures protectrices de l’union conjugale du 17 mars 2022, en outre conclu à l’attribution du logement conjugal et allégué le loyer de 3’000 fr. dans ses charges mensuelles, alors qu’elle aurait disposé de ce logement avec sa fille uniquement. Soutenir qu’un tel montant serait disproportionné en appel est ainsi discutable.</w:t>
      </w:r>
    </w:p>
    <w:p>
      <w:r>
        <w:t>- 33 - Dans ces circonstances, le grief invoqué à ce titre par l’appelante doit être rejeté et le recours à des statistiques ne paraît pas se justifier. 6.3.2 L’appelante fait grief à l’autorité précédente d’avoir arrêté à 300 fr. le forfait de droit de visite de l’intimé sur ses filles E.M.________ et C.M.________, montant qui ne se justifierait pas selon elle, dès lors qu’il augmenterait les charges mensuelles de l’intimé de manière contraire à l’équité. Le président a retenu qu’au vu du droit de visite exercé par l’intimé sur sa fille E.M.________, un forfait supplémentaire de 150 fr. serait pris en compte, les ressources à disposition de la famille permettant un léger élargissement du budget de l’intimé. Ce raisonnement sera confirmé en appel, dès lors qu’il est notamment admis, lorsque le droit de visite ne peut s’exercer en même temps sur les deux enfants, de fixer un forfait de 300 fr. (CACI 16 novembre 2020/485). En l’espèce, il est vraisemblable que le droit de visite de l’intimé sur l’enfant E.M.________ ne sera pas à chaque fois exercé en même temps que celui sur sa fille C.M.________, dès lors qu’il s’agit de l’exercice d’un droit de visite sur deux enfants mineures nées de deux relations différentes. Par ailleurs, il peut être retenu – toujours sous l’angle de la vraisemblance – que, si le père doit aller chercher l’enfant là où elle se trouve et l’y ramener, il devra se rendre à deux domiciles séparés, ce qui justifie le forfait arrêté à 300 fr. par le premier juge. Il est enfin relevé que, contrairement à ce que soutient l’intimé, un tel forfait n’a pas pour but de couvrir les frais en lien avec l’exercice d’un droit de visite sur son enfant majeure, mais sur ses deux filles mineures. Au vu de ces éléments, les griefs invoqués par l’appelante doivent être rejetés. 6.4 Enfin, l’appelante revient sur la répartition du solde disponible de l’intimé et fait grief au premier juge d’avoir renoncé à toute répartition</w:t>
      </w:r>
    </w:p>
    <w:p>
      <w:r>
        <w:t>- 34 - de l’excédent mensuel de l’intimé pour tenir compte de l’entretien de sa fille majeure D.M.________, cette manière de procéder étant, selon elle, arbitraire. Le président a constaté que l’excédent mensuel de l’intimé s’élevait à 475 fr. 70, après couverture du montant assurant l’entretien convenable de l’enfant C.M.________, et devait être intégralement laissé au père, dès lors qu’il avait une fille majeure, D.M.________, qui était toujours à sa charge. Le premier juge a ainsi relevé que, dans le respect de la primauté de l’entretien dû à l’enfant mineur (art. 276a CC), les obligations d’entretien de l’intimé vis-à-vis de D.M.________ n’avaient pas été prises en compte dans son budget mensuel jusqu’alors. Il convenait toutefois de considérer à ce stade l’entretien de sa fille majeure en laissant à l’intimé son excédent mensuel pour contribuer à son entretien. Ce raisonnement ne prête pas le flanc à la critique, compte tenu de la jurisprudence citée plus haute (cf. supra consid. 6.2.6). En effet, il n’est pas contesté que l’intimé est également le père d’une enfant majeure, D.M.________, gymnasienne, sur laquelle il exerce un droit de visite élargi. Dans la mesure où l’intimé dispose des revenus suffisants pour prendre à sa charge tant les coûts directs de l’enfant mineure des parties, que la contribution de prise en charge, son excédent mensuel doit être – à ce stade – mis à la disposition de l’entretien de l’enfant majeure, lequel n’a pas encore été pris en compte dans le budget de l’intimé. Même si celui-ci allègue que son disponible mensuel ne lui permettrait pas de prendre à sa charge l’entier de l’entretien de son enfant majeure, dès lors qu’il verserait la somme mensuelle de 650 fr. à la mère de D.M.________ et qu’il devrait également prendre à sa charge la moitié de son minimum vital à 300 fr., compte tenu de la garde alternée qui serait instaurée, seul son disponible mensuel lui sera entièrement laissé et ne sera pas réparti entre les parties. En effet, il doit pouvoir, dans le respect des règles de primauté, également contribuer – en l’espèce, partiellement – à l’entretien de son enfant majeure. Au vu de ces éléments, en ne répartissant pas l’excèdent mensuel de l’intimé entre les parties, le premier juge a correctement</w:t>
      </w:r>
    </w:p>
    <w:p>
      <w:r>
        <w:t>- 35 - appliqué les règles en la matière. Les griefs invoqués par l’appelante doivent ainsi être rejetés. 7. 7.1 En définitive, l’appel déposé par l’appelante doit être rejeté dans la mesure où il est recevable et l’ordonnance confirmée. 7.2 Les frais judiciaires de deuxième instance seront arrêtés à 1’400 fr. au total, soit 1’200 fr. pour l’émolument de décision relatif à l’appel déposé dans le cadre de cette procédure (art. 63 al. 2 TFJC [tarif des frais judiciaires civils du 28 septembre 2010 ; BLV 270.11.5]) et 200 fr. pour l’émolument de décision relatif à l’effet suspensif (art. 7 al. 1 et 60 TFJC). Vu l’issue de l’appel, les frais judiciaires de deuxième instance, à hauteur de 1’400 fr., seront entièrement mis à la charge de l’appelante, qui succombe (art. 106 al. 1 CPC). Toutefois, dès lors que l’appelante bénéficie de l’assistance judiciaire, les frais judiciaires seront provisoirement laissés à la charge de l’Etat (art. 122 al. 1 let. b CPC). L’appelante devra en outre verser à l’intimé de pleins dépens de deuxième instance, arrêtés à 2’000 fr. (art. 3 et 7 TDC [tarif des dépens en matière civile du 23 novembre 2010 ; BLV 270.11.6]). 7.3 7.3.1 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w:t>
      </w:r>
    </w:p>
    <w:p>
      <w:r>
        <w:t>- 36 -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op. cit.). L’avocat doit cependant bénéficier d’une marge d’appréciation suffisante pour déterminer l’importance du travail qu’il doit consacrer à l’affaire (ATF 118 Ia 133 consid. 2d ; ATF 109 Ia 107 précité op. cit.). 7.3.2 S’agissant du montant de l’indemnité due au conseil d’office de l’appelante, Me Zoubair Toumia a déposé une liste de ses opérations le 6 mars 2023, faisant état d’un temps consacré au dossier de 7 heures et 10 minutes. Il requiert également des débours et précise ne pas avoir été soumis à la TVA jusqu’au 31 décembre 2022. En l’espèce, ce nombre d’heures peut être admis, compte tenu de la nature du litige et des difficultés de la cause. Au tarif horaire de 180 fr., les honoraires de Me Zoubair Toumia peuvent être arrêtés à 1’290 fr. (180 fr. x 7 heures et 10 minutes), montant auquel s’ajoutent des débours</w:t>
      </w:r>
    </w:p>
    <w:p>
      <w:r>
        <w:t>- 37 - forfaitaires de 2 % par 25 fr. 80 (art. 3bis RAJ), ce qui donne un total de 1’315 fr. 80, arrondi à 1’316 francs. 7.3.3 7.3.3.1 Les conditions de l’art. 117 CPC étant réalisées, la requête d’assistance judiciaire de l’intimé doit être admise, Me Virginie Rodigari étant désignée comme son conseil d’office pour la procédure de deuxième instance, avec effet au 10 novembre 2022. 7.3.3.2 Me Virginie Rodigari a déposé une liste de ses opérations le 6 mars 2023, faisant état d’un temps consacré au dossier de 9 heures et 30 minutes. Elle requiert également des débours. En l’espèce, ce nombre d’heures peut être admis, compte tenu de la nature du litige et des difficultés de la cause. Au tarif horaire de 180 fr., les honoraires de Me Virginie Rodigari peuvent être arrêtés à 1’710 fr. (180 fr. x 9 heures et 30 minutes), montant auquel s’ajoutent des débours forfaitaires de 2 % par 34 fr. 20 (art. 3bis RAJ) et la TVA sur le tout par 134 fr. 30, ce qui donne un total de 1’878 fr. 50, arrondi à 1’879 francs. 7.4 Les parties, bénéficiaires de l’assistance judiciaire, sont tenues au remboursement de la part des frais judiciaires et de l’indemnité de leur conseil d’office provisoirement laissées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- 38 - Par ces motifs, la Juge unique de la Cour d’appel civile prononce : I. L’appel est rejeté, dans la mesure où il est recevable. II. L’ordonnance est confirmée. III. La requête d’assistance judiciaire de l’intimé B.M.________ est admise, Me Virginie Rodigari étant désignée comme son conseil d’office avec effet au 10 novembre 2022. IV. Les frais judiciaires de deuxième instance, arrêtés à 1’400 fr. (mille quatre cents francs), sont mis à la charge de l’appelante A.M.________, lesquels sont provisoirement laissés à la charge de l’Etat. V. L’indemnité d’office de Me Zoubair Toumia, conseil de l’appelante A.M.________, est arrêtée à 1’316 fr. (mille trois cent seize francs), débours compris. VI. L’indemnité d’office de Me Virginie Rodigari, conseil de l’intimé B.M.________, est arrêtée à 1’879 fr. (mille huit cent septante-neuf francs), débours et TVA compris. VII. Les parties, bénéficiaires de l’assistance judiciaire, sont tenues au remboursement des frais judiciaires et de l’indemnité de leur conseil d’office mis provisoirement à la charge de l’Etat, dès qu’elles seront en mesure de le faire. VIII. L’appelante A.M.________ versera à l’intimé B.M.________ la somme de 2’000 fr. (deux mille francs) à titre de dépens de deuxième instance.</w:t>
      </w:r>
    </w:p>
    <w:p>
      <w:r>
        <w:t>- 39 - IX. L’arrêt est exécutoire. La juge unique : La greffière : Du Le présent arrêt, dont la rédaction a été approuvée à huis clos, est notifié en expédition complète à : - Me Zoubair Toumia (pour A.M.________), - Me Virginie Rodigari (pour B.M.________),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