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JS22.001305 vom 20. September 2022</w:t>
      </w:r>
    </w:p>
    <w:p>
      <w:r>
        <w:t>VD Tribunal cantonal, 2022-09-20, FR</w:t>
      </w:r>
    </w:p>
    <w:p>
      <w:r>
        <w:rPr>
          <w:b/>
        </w:rPr>
        <w:t xml:space="preserve">Quelle: </w:t>
      </w:r>
      <w:r>
        <w:t>https://mcp.opencaselaw.ch/entscheid/vd_gerichte_JS22.001305</w:t>
      </w:r>
    </w:p>
    <w:p>
      <w:r>
        <w:t>FR: VD_GERICHTE JS22.001305 du 20 septembre 2022</w:t>
      </w:r>
    </w:p>
    <w:p>
      <w:r>
        <w:t>IT: VD_GERICHTE JS22.001305 del 20 settembre 2022</w:t>
      </w:r>
    </w:p>
    <w:p>
      <w:pPr>
        <w:pStyle w:val="Heading2"/>
      </w:pPr>
      <w:r>
        <w:t>Erwägungen</w:t>
      </w:r>
    </w:p>
    <w:p>
      <w:r>
        <w:rPr>
          <w:b/>
        </w:rPr>
        <w:t>E. 3</w:t>
      </w:r>
    </w:p>
    <w:p>
      <w:r>
        <w:t>L’appelante considère qu’elle ne devrait pas être tenue de contribuer à l’entretien de l’intimé et de sa fille lorsque celle-ci se trouve</w:t>
      </w:r>
    </w:p>
    <w:p>
      <w:r>
        <w:t>- 12 - chez son père. Elle remet notamment en cause le revenu hypothétique qui a été imputé à l’intimé et une partie des charges de celui-ci.</w:t>
      </w:r>
    </w:p>
    <w:p>
      <w:r>
        <w:rPr>
          <w:b/>
        </w:rPr>
        <w:t>E. 3.1.1</w:t>
      </w:r>
    </w:p>
    <w:p>
      <w:r>
        <w:t>Selon l’art. 176 al. 1 ch. 1 CC (Code civil suisse du 10 décembre 1907 ; RS 210),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3.1.2</w:t>
      </w:r>
    </w:p>
    <w:p>
      <w:r>
        <w:t>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du 9 juin 2020 consid. 5.4.1 ; TF 5A_727/2018 du 22 août 2019 consid. 4.3.2.3 et les références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w:t>
      </w:r>
    </w:p>
    <w:p>
      <w:r>
        <w:t>- 13 -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du 9 juin 2020 consid. 6.3.1 ; TF 5A_743/2017 du 22 mai 2019 consid. 5.4.3).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3.1.3</w:t>
      </w:r>
    </w:p>
    <w:p>
      <w:r>
        <w:t>Le Tribunal fédéral a considéré que, pour arrêter les coûts directs de l’enfant, il y avait lieu de se fonder sur la méthode en deux étapes avec répartition de l’excédent, qui se base sur les frais de subsistance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w:t>
      </w:r>
    </w:p>
    <w:p>
      <w:r>
        <w:t>- 14 - de l’enfant doit trouver des limites pour des raisons éducatives et/ou pour des raisons liées aux besoins concrets de l’enfant – respectivement du conjoint le cas échéant (ATF 147 III 293 consid. 4.5 ; ATF 147 III 265 consid. 6.6).</w:t>
      </w:r>
    </w:p>
    <w:p>
      <w:r>
        <w:rPr>
          <w:b/>
        </w:rPr>
        <w:t>E. 3.1.4</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5A_767/2016 du 30 janvier 2017 consid. 3.1.1 ; TF 5A_1029/2015 du 1er juin 2016 consid. 4.3.1)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3.1.5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w:t>
      </w:r>
    </w:p>
    <w:p>
      <w:r>
        <w:t>- 15 -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w:t>
      </w:r>
    </w:p>
    <w:p>
      <w:r>
        <w:rPr>
          <w:b/>
        </w:rPr>
        <w:t>E. 3.2</w:t>
      </w:r>
    </w:p>
    <w:p>
      <w:r>
        <w:t>; TF 5A_254/2019 du 18 juillet 2019 consid. 3.1 ; TF 5A_571/2018 du 14 septembre 2018 consid. 5.1.2 et les références citées). Les principes relatifs au revenu hypothétique valent tant pour le débiteur que pour le créancier d’entretien (TF 5A_838/2009 du 6 mai 2010, FamPra.ch 2010 p. 669).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w:t>
      </w:r>
    </w:p>
    <w:p>
      <w:r>
        <w:t>- 17 -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5A_112/2013 du 25 mars 2013 consid. 4.1.3). L’utilisation de statistiques pour arrêter le salaire hypothétique n’est nullement impérative, en particulier lorsqu’un revenu concrètement existant peut fournir un point de départ (ATF 147 III 265 consid. 3.2 et les références citées). Le Tribunal fédéral estime désormais qu’on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w:t>
      </w:r>
    </w:p>
    <w:p>
      <w:r>
        <w:rPr>
          <w:b/>
        </w:rPr>
        <w:t>E. 3.2.1.1</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w:t>
      </w:r>
    </w:p>
    <w:p>
      <w:r>
        <w:rPr>
          <w:b/>
        </w:rPr>
        <w:t>E. 3.2.1.2</w:t>
      </w:r>
    </w:p>
    <w:p>
      <w:r>
        <w:t>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du 24 février 2022 consid. 6.1 ; TF 5A_192/2021 du 18 novembre 2021 consid. 7.1.1 ; TF 5A_278/2021 du 7 octobre 2021 consid. 5.1). Selon les cas, le juge peut même n’accorder aucun délai d’adaptation (cf. TF 5A_340/2018 du 16 janvier 2019), notamment lorsque des changements étaient prévisibles pour la partie concernée (TF 5A_685/2018 du 15 mai 2019 consid. 5.1 ; TF 5A_978/2018 du 15 avril</w:t>
      </w:r>
    </w:p>
    <w:p>
      <w:r>
        <w:t>- 18 - 2019 consid. 3.1 ; TF 5A_764/2017 du 7 mars 2018 consid. 3.2 ; TF 5A_184/2015 du 22 janvier 2016 consid. 3.2).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Si l’intéressé ne s’est pas adapté à une situation prévisible, il ne se justifie pas qu’il puisse encore bénéficier d’un délai supplémentaire (cf. Juge délégué CACI 18 janvier 2022/16 ; CACI 8 décembre 2021/573 et les références citées).</w:t>
      </w:r>
    </w:p>
    <w:p>
      <w:r>
        <w:rPr>
          <w:b/>
        </w:rPr>
        <w:t>E. 3.2.2.1</w:t>
      </w:r>
    </w:p>
    <w:p>
      <w:r>
        <w:t>Le premier juge a retenu que l’intimé était âgé de 42 ans, qu’il était en bonne santé et qu’aucun élément n’indiquait qu’il n’était pas en mesure de trouver un emploi à un taux d’activité de 80%. Il a précisé que l’enfant des parties allait intégrer le degré secondaire dans les deux ans et que l’appelante travaillait pour sa part déjà à plein temps. En outre, selon le premier juge, les parties étaient convenues d’une garde alternée, de sorte que l’intéressé disposerait de temps pour se consacrer à une activité professionnelle, ce d’autant plus que son mandat politique au [...] avait pris fin au mois de juin dernier. L’autorité de première instance a relevé qu’il y avait lieu de tenir compte du fait que l’intimé n’avait pas de formation et que, malgré une certaine expérience professionnelle, il avait interrompu son précédent emploi pour s’occuper de sa fille et des enfants de l’appelante. Elle a enfin considéré qu’il convenait d’exiger de l’intéressé qu’il augmente sa capacité de gain. Le premier juge a calculé le revenu hypothétique de l’intimé sur la base du calculateur statistique de la Confédération suisse, en comparaison à une personne de 43 ans travaillant en qualité de commerçant, de vendeur ou d’employé administratif, sans année de service, au bénéfice d’une formation acquise</w:t>
      </w:r>
    </w:p>
    <w:p>
      <w:r>
        <w:t>- 19 - en entreprise, mais sans fonction de cadre, et a relevé qu’il était en mesure, en déduisant un forfait de 15% de charges sociales, de réaliser un salaire mensuel net d’environ 3’450 francs. Il a indiqué qu’il y avait lieu d’ajouter à ce salaire un montant de 350 fr., correspondant aux revenus accessoires que l’intimé pourrait recevoir pour sa fonction de conseiller communal et de son entreprise individuelle, si bien qu’il convenait d’arrêter le revenu hypothétique à 3’800 fr. net par mois. Il a estimé qu’un délai d’adaptation de six mois, soit dès le 1er février 2023, semblait suffisant pour réaliser un salaire de cet ordre.</w:t>
      </w:r>
    </w:p>
    <w:p>
      <w:r>
        <w:rPr>
          <w:b/>
        </w:rPr>
        <w:t>E. 3.2.2.2</w:t>
      </w:r>
    </w:p>
    <w:p>
      <w:r>
        <w:t>En l’espèce, il n’est pas contesté que l’intimé doit se voir imputer un revenu hypothétique. Il convient donc de vérifier si le taux d’activité de 80% et le revenu de 3’800 fr. retenu par le premier juge sont adéquats, puis de réexaminer le délai d’adaptation fixé par celui-ci au 1er février 2023. L’intimé est âgé de 43 ans et est en bonne santé. Quand bien même, il n’a pas de formation spécifique et a interrompu, dans le courant de l’année 2010, une activité professionnelle pour se consacrer à l’éducation des enfants des parties, il reste tout à fait apte à travailler. Avant cette interruption, l’intéressé a en effet travaillé comme steward, puis en qualité de commercial. Depuis l’année 2020, il a exercé des mandats politiques au [...], ainsi qu’au conseil communal de son lieu de domicile, ce qui lui a permis de percevoir des revenus réguliers non négligeables et d’acquérir de l’expérience. L’intimé a en outre une entreprise individuelle, dont il a modifié le but récemment et qui semble pouvoir lui rapporter une modeste rémunération à moyen terme. Au début de l’année, il a également effectué quelques heures comme serveur dans un restaurant. Il peut ainsi faire valoir une expérience variée et dispose d’un bagage important. Dans ces conditions, il peut raisonnablement être exigé de l’intéressé qu’il trouve un emploi à un taux d’activité élevé. En outre, la possibilité effective qu’il puisse être engagé est indéniable. Les parties sont convenues d’instaurer une garde alternée sur leur fille, de sorte que tant l’intimé que l’appelante ont la possibilité de</w:t>
      </w:r>
    </w:p>
    <w:p>
      <w:r>
        <w:t>- 20 - consacrer une bonne partie de leur temps à une activité professionnelle. L’appelante travaille pour sa part à plein temps dans l’enseignement. Dans ces conditions, il paraît équitable d’imposer à l’intimé de travailler à un taux d’activité de 80%, dès lors qu’il est notoire qu’un enseignant à plein temps effectue de manière générale moins d’heures par semaine qu’un employé dans une entreprise privée ou dans l’administration. De plus, le temps restant à l’intéressé lui permettra de poursuivre ses activités accessoires, comme son mandat politique communal ou la gestion de son entreprise individuelle. Enfin, l’enfant des parties va prochainement entrer à l’école secondaire, de sorte que le taux d’activité précité est conforme à la jurisprudence. De toute manière, en raison de la garde alternée, les parties paraissent avoir la possibilité de s’organiser afin de faire concilier leurs vies familiales et professionnelles respectives. Sur cette question, on relève que l’appelante n’étaye pas son affirmation selon laquelle l’intimé devrait travailler à un taux d’activité de 100%, plutôt qu’à un taux de 80%, comme l’a retenu le premier juge. Par conséquent, on ne saurait suivre celle-ci. L’intimé, s’il bénéficie certes d’une expérience variée et paraît compétitif sur le marché de l’emploi, n’a pas de formation ni de réel métier. Il convient donc, comme l’a fait le premier juge, de se fonder, afin d’évaluer son salaire prévisible, sur celui d’un employé du même âge que lui travaillant, à raison de 34 heures par semaine, dans la région lémanique, dans le commerce de détail, comme vendeur, au bénéfice d’une formation acquise en entreprise et sans fonction de cadre. Selon ces paramètres, on parvient, sur la base du calculateur statistique de la Confédération suisse, à un salaire minimum de 4’011 fr. brut par mois, soit à un salaire mensuel net de près de 3’450 fr. (4’011 fr. - 15%). Par ailleurs, c’est à juste titre que le premier juge a ajouté à ce salaire la somme de 350 fr. net par mois, dès lors qu’il y a lieu d’exiger de l’intimé qu’il se procure à tout le moins des revenus accessoires d’un tel montant grâce à ses autres activités. A cet égard, l’appelante se contente d’affirmer que l’intéressé pourrait se procurer un revenu de 5’000 fr. net par mois. Cependant, elle n’étaye, là non plus, pas vraiment son point de vue et ne se prévaut d’aucun critère pertinent. Elle relève tout au plus que la</w:t>
      </w:r>
    </w:p>
    <w:p>
      <w:r>
        <w:t>- 21 - conjoncture serait bonne, notamment dans le secteur de l’hôtellerie ou de la restauration, et que l’intimé devrait facilement pouvoir trouver un emploi. Or, si on peut admettre que tel soit le cas, cela ne permet pas de retenir un salaire plus élevé. De plus, il est peu probable que des activités de secrétaire, d’accueil ou d’huissier permettent, à une personne dépourvue d’un CFC ou d’une formation appropriée, d’obtenir un revenu plus élevé que celui retenu ci-dessus. Dans ces circonstances, il y a lieu de confirmer le revenu hypothétique de 3’800 fr. net par mois arrêté par le premier juge. L’autorité de première instance a imparti à l’intimé un délai d’adaptation au 1er février 2023, en indiquant qu’un délai de six mois paraissait suffisant. Il est vrai que celle-ci n’a pas expliqué de manière circonstanciée pourquoi elle fixait un délai d’une telle durée. L’appelante relève pour sa part que le délai d’adaptation imparti par le premier juge correspondrait à un délai de 18 mois depuis la séparation des parties, le 25 juin 2021. La jurisprudence n’impose cependant pas de prendre la séparation comme point de départ de ce délai. Elle prévoit que le délai doit être fixé en fonction des circonstances, notamment si des changements étaient prévisibles pour la partie concernée. Or, en l’espèce, l’intimé ne pouvait pas encore prévoir, au moment de la séparation, qu’il devait envisager de reprendre un travail. En effet, au vu des éléments au dossier, rien indique que la séparation des parties ne serait pas intervenue soudainement. On ne saurait donc arrêter le point de départ du délai d’adaptation au 25 juin 2021. L’intimé a déposé la requête de mesures protectrices de l’union conjugale au début de l’année 2022. On peut donc admettre qu’il devait partir du principe que la reprise de la vie commune n’était plus possible peu avant le dépôt de celle-ci. Cela est confirmé par le fait que, selon les pièces du dossier, l’intéressé a effectué des recherches d’emploi à partir du mois de décembre 2021 (pièces 150). Sur ce point, on ne saurait, déjà, lui reprocher d’avoir tardé à chercher un travail. Il n’est pas non plus resté sans rien faire, puisqu’il a travaillé quelques heures dans un restaurant au début de l’année 2022. Ensuite, en tenant compte, comme point de départ du délai d’adaptation, de la fin de l’année 2021, on s’aperçoit que le délai fixé par le premier juge</w:t>
      </w:r>
    </w:p>
    <w:p>
      <w:r>
        <w:t>- 22 - correspond à un peu plus d’une année. Or, il ne faut pas perdre de vue que l’intéressé est resté sans emploi pendant de nombreuses années et qu’il n’est pas au bénéfice d’une formation. Ainsi, on peut admettre que, dans la situation de l’intimé, la constitution d’un dossier de candidature sérieux et la prise d’un emploi peut s’avérer plus difficile que pour une personne active profes-sionnellement et disposant d’une formation reconnue. Dans ces circonstances, le délai d’adaptation, fixé au 1er février 2023 par le premier juge, est admissible et doit être confirmé. Enfin, il n’y a pas lieu de reprocher au premier juge d’avoir déduit, selon les usages, la rétrocession de 12,5% des indemnités reçues par l’intimée dans le cadre de son mandat au [...], celle-ci étant vraisemblable. Par ailleurs, au terme de son grief, l’appelante offre de contribuer à l’entretien de l’enfant J.________ par le versement d’une pension mensuelle de 536 fr., soit la part du loyer chez l’intimé de 235 fr. et la moitié de sa base mensuelle de 300 fr., en précisant qu’elle prendrait en charge les autres frais. Cependant, outre que l’intéressée ne fournit aucun détail sur ce point, le montant allégué ne tient pas compte de l’entier des éléments pertinents pour calculer la contribution d’entretien. Par conséquent, on ne saurait, à ce stade, entrer en matière sur ce point.</w:t>
      </w:r>
    </w:p>
    <w:p>
      <w:r>
        <w:rPr>
          <w:b/>
        </w:rPr>
        <w:t>E. 3.3</w:t>
      </w:r>
    </w:p>
    <w:p>
      <w:r>
        <w:t>Dans un grief intitulé « La période du 1er août au 28 février 2022 », l’appelante fait valoir que l’intimé aurait reçu un montant de 16’000 fr. provenant du compte commun des parties et qu’elle aurait accepté qu’il conserve ce montant pour la prise en charge de ses factures. Elle précise qu’elle aurait payé le loyer du mois de juillet 2021 avant son départ le 25 juin 2021. Elle reproche au premier juge d’avoir omis cet élément de fait, de sorte qu’il se justifierait d’annuler l’ordonnance querellée. L’appelante ajoute que, grâce au montant de 16’000 fr., l’intimé aurait pu faire face à ses propres charges et à celles de l’enfant des parties lors de son séjour chez lui. Elle estime dès lors également qu’il y aurait lieu de réformer l’ordonnance entreprise en ce sens qu’elle ne devrait aucune contribution d’entretien pour cette période.</w:t>
      </w:r>
    </w:p>
    <w:p>
      <w:r>
        <w:t>- 23 -</w:t>
      </w:r>
    </w:p>
    <w:p>
      <w:r>
        <w:rPr>
          <w:b/>
        </w:rPr>
        <w:t>E. 3.3.1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w:t>
      </w:r>
    </w:p>
    <w:p>
      <w:r>
        <w:rPr>
          <w:b/>
        </w:rPr>
        <w:t>E. 3.3.2</w:t>
      </w:r>
    </w:p>
    <w:p>
      <w:r>
        <w:t>L’appelante se contente tout d’abord d’indiquer qu’elle a payé le loyer du mois de juillet 2021 avant son départ le 25 juin 2021. Elle ne fonde toutefois son affirmation sur aucune pièce ni aucun élément au dossier. Par ailleurs, le point de départ de la contribution d’entretien a été arrêté au 1er août 2021, de sorte que la question du paiement du loyer du mois de juillet 2021 n’est pas pertinente. L’appelante se limite ensuite à indiquer que l’intimé aurait reçu une somme de 16’000 fr. provenant du compte commun des parties, en précisant que la pièces à produire, soit l’avis de virement, serait difficile à obtenir parce que le compte aurait entre-temps été clôturé. Elle ajoute que l’intéressé aurait admis avoir reçu ce montant lors de l’audience du 24 février 2022. Cela étant, à nouveau, l’appelante n’étaye pas son grief et ne rend pas vraisemblable que l’intimé aurait effectivement reçu un tel</w:t>
      </w:r>
    </w:p>
    <w:p>
      <w:r>
        <w:t>- 24 - montant. Le procès-verbal de l’audience précitée ne contient aucun élément à cet égard. On relève en outre que l’appelante ne fournit aucune précision au sujet de la date à laquelle l’intéressé aurait obtenu le montant de 16’000 fr. en question. Ainsi, en l’état, on ne sait pas quand ce montant a été reçu, soit avant, pendant ou après la période du 1er août 2021 au 28 février 2022, et s’il a réellement pu être utilisé par l’intimé pour couvrir ses charges et celles de l’enfant J.________. L’intéressée n’a pas jugé utile de produire l’avis de virement à l’appui de son appel afin d’éclaircir un tant soit peu la situation, alors qu’elle aurait au moins pu produire une demande en ce sens à la banque concernée. Sur ce point, elle se contente d’indiquer que l’autorité de première instance aurait omis de tenir compte de cet élément de fait et se livre ainsi à une critique générale, sans préciser clairement les passages de l’ordonnance querellée qui seraient erronés. L’appelante fait encore état d’un calcul, qui tient compte du montant de 16’000 fr. précité, ainsi que des indemnités politiques reçues par l’intimé durant la période considérée, et affirme que le montant global lui permettrait de couvrir ses charges et celles de l’enfant des parties. Or, le calcul opéré par l’intéressée est pour le moins simpliste et démontre simplement qu’avec un revenu plus important, l’intimé pourrait couvrir l’ensemble des charges en question. Cependant, outre que le montant de 16’000 fr. n’est, comme on l’a vu, pas rendu vraisemblable, l’appelante ne reprend pas le calcul circonstancié réalisé par le premier juge pour fixer la contribution d’entretien pour cette période. Elle ne motive ainsi pas de manière suffisante son moyen. En outre, elle ne plaide pas, à titre subsidiaire, que les calculs effectués par l’autorité de première instance seraient erronés. Au vu des éléments qui précèdent, le moyen de l’appelante doit être rejeté, respectivement déclaré irrecevable, celui-ci ne répondant pas aux exigences de motivation prévues à l’art. 311 al. 1 CPC.</w:t>
      </w:r>
    </w:p>
    <w:p>
      <w:r>
        <w:rPr>
          <w:b/>
        </w:rPr>
        <w:t>E. 3.4</w:t>
      </w:r>
    </w:p>
    <w:p>
      <w:r>
        <w:t>L’appelante conteste les frais de transport retenus par le premier juge dans les charges de l’intimé. Elle estime qu’il serait</w:t>
      </w:r>
    </w:p>
    <w:p>
      <w:r>
        <w:t>- 25 - inadmissible de retenir de tels frais, dès lors que l’intéressé ne travaille pas et ne ferait pas de recherches d’emploi sérieuses. Dans son ordonnance, l’autorité de première instance a relevé que les frais de transport éventuels de l’intimé étaient couverts par les indemnités cantonales qu’il reçoit pour son mandat au [...] à tout le moins jusqu’au 1er juillet 2022. Il a précisé qu’ensuite, et jusqu’au 31 janvier 2023, ces frais devaient être couverts par le forfait de 150 fr. retenu pour ses recherches d’emploi. Il apparaît ainsi que, pour la période du 1er août 2021 au 31 janvier 2023, durant laquelle il n’est pas encore prévu que l’intéressé ait un travail, le premier juge n’a comptabilisé aucun frais de transport dans les charges de l’intimé. Le grief de l’appelante n’est donc pas pertinent. De plus, si le premier juge a certes tenu compte de frais de transport pour la période à partir du 1er février 2023, ceux-ci sont justifiés par le fait que l’intimé s’est vu imputer un revenu hypothétique depuis cette date. A cet égard, le montant de 140 fr., qui n’est pas contesté, paraît correct, dans la mesure où il permet de payer une abonnement Mobilis de cinq zones.</w:t>
      </w:r>
    </w:p>
    <w:p>
      <w:r>
        <w:rPr>
          <w:b/>
        </w:rPr>
        <w:t>E. 3.5</w:t>
      </w:r>
    </w:p>
    <w:p>
      <w:r>
        <w:t>L’appelante conteste encore le poste des impôts retenu par le premier juge dans les charges de l’intimé. Elle fait valoir que la charge fiscale de l’intéressé serait nulle et qu’elle ne devrait pas être comptabilisée d’office dans son budget. Dans le cadre de son ordonnance, l’autorité de première instance a indiqué que, pour la période du 1er août 2021 au 31 janvier 2023, l’intimé avait reconnu que sa charge fiscale était nulle et n’a donc pas comptabilisé une telle charge. Ensuite, il est logique qu’il ait tenu compte d’office des impôts à partir du 1er février 2023, puisque, depuis cette date, l’intéressé s’est vu imputer un revenu hypothétique. Le grief de l’appelante n’est donc pas fondé. Celle-ci ne conteste enfin pas la quotité de 380 fr. retenue pour le poste des impôts. L’estimation réalisée par le premier juge, qui a fait usage du calculateur fiscal de l’Administration fédérale des contributions et qui a pris en compte le salaire annuel hypothétique de l’intéressé et ses revenus accessoires, puis</w:t>
      </w:r>
    </w:p>
    <w:p>
      <w:r>
        <w:t>- 26 - y a déduit ses frais de repas et de transport hypothétiques, paraît correcte et doit être confirmée. Cette estimation est en outre favorable à l’appelante, puisque le premier juge n’a pas tenu compte de la pension mensuelle prévisible qu’il devrait recevoir depuis le 1er février 2023.</w:t>
      </w:r>
    </w:p>
    <w:p>
      <w:r>
        <w:rPr>
          <w:b/>
        </w:rPr>
        <w:t>E. 3.6</w:t>
      </w:r>
    </w:p>
    <w:p>
      <w:r>
        <w:t>L’ensemble des griefs de l’appelante devant être rejeté, il n’y a pas lieu de recalculer les contributions d’entretien. 4. En définitive, l’appel, manifestement infondé, doit être rejeté, pour autant que recevable, selon l’art. 312 al. 1 in fine CPC et l’ordonnance entreprise confirmée. Les frais judiciaires de deuxième instance, arrêtés à 600 fr. (art. 65 al. 2 TFJC [tarif des frais judiciaires civils du 28 septembre 2010 ; BLV 270.11.5]), seront mis à la charge de l’appelante, qui succombe (art. 106 al. 1 CPC). L’émolument relatif à l’ordonnance d’effet suspensif, arrêté à 200 fr. (art. 7 al. 1 et 60 TFJC par analogie), sera mis par moitié à la charge de chaque partie, dès lors que la requête d’effet suspensif a été partiellement admise et que l’intimé avait conclu au rejet de celle-ci. Ainsi, les frais judiciaires de deuxième instance seront mis par 700 fr. à la charge de l’appelante et par 100 fr. à la charge de l’intimé. Il n’y a pas lieu à l’allocation de dépens, l’intimé n’ayant pas été invité à se déterminer. Par ces motifs, la Juge unique de la Cour d’appel civile prononce : I. L’appel est rejeté, dans la mesure de sa recevabilité. II. L’ordonnance est confirmée.</w:t>
      </w:r>
    </w:p>
    <w:p>
      <w:r>
        <w:t>- 27 - III. Les frais judiciaires de deuxième instance, arrêtés à 800 fr. (huit cents francs), sont mis à la charge de l’appelante A.V.________ par 700 fr. (sept cents francs) et à la charge de l’intimé B.V.________ par 100 fr. (cent francs). IV. L’arrêt est exécutoire. La juge unique : Le greffier : Du Le présent arrêt, dont la rédaction a été approuvée à huis clos, est notifié en expédition complète à : - Me Nicolas Perret, avocat (pour A.V.________), - Me Albert. J. Graf, avocat (pour B.V.________),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