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JS21.040113 vom 23. Mai 2023</w:t>
      </w:r>
    </w:p>
    <w:p>
      <w:r>
        <w:t>VD Tribunal cantonal, 2023-05-23, FR</w:t>
      </w:r>
    </w:p>
    <w:p>
      <w:r>
        <w:rPr>
          <w:b/>
        </w:rPr>
        <w:t xml:space="preserve">Quelle: </w:t>
      </w:r>
      <w:r>
        <w:t>https://mcp.opencaselaw.ch/entscheid/vd_gerichte_JS21.040113</w:t>
      </w:r>
    </w:p>
    <w:p>
      <w:r>
        <w:t>FR: VD_GERICHTE JS21.040113 du 23 mai 2023</w:t>
      </w:r>
    </w:p>
    <w:p>
      <w:r>
        <w:t>IT: VD_GERICHTE JS21.040113 del 23 maggio 2023</w:t>
      </w:r>
    </w:p>
    <w:p>
      <w:pPr>
        <w:pStyle w:val="Heading2"/>
      </w:pPr>
      <w:r>
        <w:t>Erwägungen</w:t>
      </w:r>
    </w:p>
    <w:p>
      <w:r>
        <w:rPr>
          <w:b/>
        </w:rPr>
        <w:t>E. 21</w:t>
      </w:r>
    </w:p>
    <w:p>
      <w:r>
        <w:t>novembre 2011 consid. 1.3). 2.3 S’agissant des questions relatives aux enfants, la maxime d'office s'applique, en sus de la maxime inquisitoire illimitée (art. 296 al. 1 et 3 CPC). Le juge n'est ainsi pas lié par les offres de preuve des parties ; il décide, selon sa conviction, quels faits doivent encore être établis et quels sont les moyens de preuve pertinents pour démontrer ces faits (TF 5A_184/2017 du 9 juin 2017 consid. 3.1). Il ordonne d'office l'administration de tous les moyens de preuve propres et nécessaires à établir les faits pertinents (TF 5A_877/2013 du 10 février 2014 consid. 4.1.1; TF 5A_647/2021 du 19 novembre 2021 consid. 4.2.1). La maxime inquisitoire illimitée ne signifie toutefois pas que le juge doive recueillir d’office tous les éléments susceptibles d’influer sur la réglementation concernant les enfants (TF 5A_808/2012 du 29 août 2013 consid. 4.3.2). Le devoir de collaborer activement à la procédure impose ainsi aux parties, surtout lorsqu’elles sont assistées d’un avocat, de produire à temps tous les moyens de preuve en leur possession (TF 5A_565/2016 du 16 février 2017 consid. 4.2.2). Ne viole ainsi pas l’art. 296 al. 1 CPC le juge qui, notamment, renonce à ordonner l'édition de pièces (preuves de recherches d’emploi) que le recourant aurait raisonnablement pu produire</w:t>
      </w:r>
    </w:p>
    <w:p>
      <w:r>
        <w:t>- 17 - lui-même, en s’adressant à l’office de placement (TF 5A_695/2020 du 26 avril 2021 consid. 3.3), ni celui qui n’accorde pas un délai supplémentaire pour produire des pièces établissant l’incapacité de travail de la partie, lorsque celle-ci aurait pu les produire bien avant l’audience (Juge unique CACI 11 janvier 2023/12). Lorsque la procédure est soumise à la maxime inquisitoire illimitée, les parties peuvent présenter des nova en appel même si les conditions de l'art. 317 al. 1 CPC ne sont pas réunies (ATF 144 III 349 consid. 4.2.1). La contribution due à l'entretien d'un enfant est soumise à la maxime d'office (art. 296 al. 3 CPC ; ATF 129 III 417 consid. 2.1.2; ATF 128 III 411 consid. 3.2.2. et réf.), ce qui a pour conséquence que le juge n'est pas lié par les conclusions des parents à cet égard (TF 5A_704/2013 du 15 mai 2014 consid. 3.4, non publié in ATF 140 III 231 ; TF 5A_420/2016 du 7 février 2017 consid. 2.2) et peut prendre les mesures nécessaires sans être lié par lesdites conclusions et même en l’absence de conclusions (ATF 128 III 411 consid. 3.1). L’interdiction de la reformatio in pejus ne s’applique pas dans les affaires régies par la maxime d’office (ATF 137 III 617 consid. 4.5.2 et 4.5.3, JdT 2014 II 187 ; TF 5A_106/2019 du 16 mars 2020 consid. 5.5 ; TF 5A_926/2019 du 30 juin 2020 consid. 4.4.1). 2.4 En l’espèce, la maxime inquisitoire illimitée étant applicable, les allégués et pièces produites en appel jusqu’à ce que la cause ait été gardée à juger sont recevables. 3. 3.1 L’appelante a requis une nouvelle audition de B.W.________. 3.2 L’art. 298 al. 1 CPC prévoit que les enfants sont entendus personnellement et de manière appropriée par le tribunal ou un tiers nommé à cet effet, pour autant que leur âge ou d’autres justes motifs ne s’y opposent pas.</w:t>
      </w:r>
    </w:p>
    <w:p>
      <w:r>
        <w:t>- 18 - En principe, l’enfant ne doit être entendu qu’une fois dans le courant de la procédure, que ce soit en première ou en seconde instance, pourvu qu’il ait été entendu sur les points pertinents pour la décision et que les résultats de son audition soient toujours actuels (ATF 146 III 203 consid. 3.3.2 ; TF 5A_967/2021 du 24 juin 2022 consid. 2.1 ; TF 5A_729/2020 du 4 février 2021 consid. 3.3.1.1). Il n'y a pas lieu de renouveler l'audition devant l'autorité cantonale supérieure lorsque les circonstances ne se sont pas modifiées de manière essentielle depuis la dernière audition (TF 5A_56/2020 du 17 août 2020 consid. 4.2 ; TF 5A_724/2015 du 2 juin 2016 consid. 4.3, non publié à l’ATF 142 I 188 ; TF 5A_911/2012 du 14 février 2013 consid. 7.2.3, FamPra.ch 2013 p. 531), le seul fait que la dernière audition remonte à deux ans n’étant pas suffisant (TF 5A_56/2020 du 17 août 2020 consid. 6.3). 3.3 En l’espèce, la situation de B.W.________ n’apparaît pas s’être modifiée de manière essentielle depuis son audition par le premier juge, dont le procès-verbal laisse apparaître le souhait clair de l’adolescente de ne pas être soumis à une garde alternée. Par ailleurs, les tensions qui ont pu naître de l’application du régime de garde alternée ne constitue pas, aux yeux de la juge de céans, une modification des circonstances justifiant de réentendre l’enfant, qui a déjà exprimé son avis sur la question. Partant, la requête doit être rejetée. 4. 4.1 Dans un premier moyen, l'appelante soutient que la garde sur l'enfant B.W.________ aurait dû lui être attribuée, estimant que le président n'avait pas suffisamment pris en considération la situation concrète de l'adolescente ainsi que ses souhaits et son âge. Elle remet également en cause les capacités éducatives de l’intimé. 4.2</w:t>
      </w:r>
    </w:p>
    <w:p>
      <w:r>
        <w:t>- 19 - 4.2.1 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2ter CC, lorsque l'autorité parentale est exercée conjointement, le juge examine, selon le bien de l'enfant, la possibilité de la garde alternée, si le père, la mère ou l'enfant la demande. Les parents exercent alors en commun l'autorité parentale, mais se partagent la garde de l'enfant d'une façon alternée pour des périodes plus ou moins égales, pouvant être fixées en jours ou en semaines, voire en mois (TF 5A_200/2019 du 29 janvier 2020 consid. 3.1.2 ; TF 5A_844/2019 du 17 septembre 2020 consid. 3.2.2 ; TF 5A_821/2019 du 14 juillet 2020 consid. 4.1 ; TF 5A_991/2019 du 19 janvier 2021 consid. 5.1.1). L'autorité compétente doit examiner, nonobstant et indépendamment de l'accord des parents quant à une garde alternée, si celle-ci est possible et compatible avec le bien de l'enfant (ATF 142 III 612 consid. 4.2 ; ATF 142 III 617 consid. 3.2.3), qui constitue la règle fondamentale en matière d'attribution des droits parentaux (ATF 141 III 328 consid. 5.4), les intérêts des parents devant être relégués au second plan (ATF 142 III 617 précité consid. 3.2.3 et les réf. cit. ; TF 5A_991/2019 du 19 janvier 2021 consid. 5.1.1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w:t>
      </w:r>
    </w:p>
    <w:p>
      <w:r>
        <w:t>- 20 - des difficultés futures de collaboration et aura en principe pour conséquence d'exposer de manière récurrente l'enfant à une situation conflictuelle, ce qui apparaît contraire à son intérêt (ATF 142 III 617 consid. 3.2.3 ; TF 5A 682/2020 du 21 juin 2021 consid. 2.1 ; TF 5A_793/2020 du 24 février 2021 consid. 5.1.2 ; TF 5A_260/2019 du 5 novembre 2019 consid. 3.1). 4.2.2 Si les parents disposent tous deux de capacités éducatives équivalentes, le juge doit dans un deuxième temps évaluer les autres critères d'appréciation pertinents pour l'attribution de la garde.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TF 5A_821/2019 précité consid. 4.1 ; TF 5A_200/2019 précité, consid. 3.1.2). Hormis l'existence de capacités éducatives, qui est une prémisse nécessaire pour se voir attribuer la garde, les critères d'appréciation précités sont interdépendants et leur importance varie en fonction du cas d'espèce (ATF 142 III 617 consid. 3.2.3 ; ATF 142 III 612 consid. 4.3 ; TF 5A_11/2020 du 13 mai 2020 consid. 3.3.3.1 ; TF 5A_534/2019 du 31 janvier 2020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w:t>
      </w:r>
    </w:p>
    <w:p>
      <w:r>
        <w:t>- 21 - organisation (ATF 142 III 617 précité consid. 3.2.3 ; TF 5A_200/2019 précité consid. 3.1.2 ; TF 5A_821/2019 du 14 juillet 2020 consid. 4.3). 4.2.3 Selon la jurisprudence, le maintien de l’unité de la fratrie compte parmi les critères permettant de statuer sur la garde en cas de litige. Ce principe vise à éviter des régimes de garde différents pour les frères et sœurs (germain·es). Il connaît toutefois des exceptions et nuances. Lorsque les frères et sœurs, par exemple en raison d’une différence d’âge, présentent des besoins différents et en particulier des liens affectifs et des souhaits différents, une séparation de la fratrie peut aussi servir le bien des enfants (TF 5A_637/2022 du 9 février 2023 consid. 3.2.1 ; 5A_589/2021 du 23 juin 2022 consid. 3.1.2 ; 5A_236/2016 du 15 janvier 2018 consid. 4.1). 4.2.4 Le juge n'est pas lié par l'avis de l'enfant, mais la volonté de celui-ci est un élément important. Le juge l'apprécie en tenant compte notamment de son âge et de son degré de maturité (ATF 122 III 401 consid. 3b, JdT 1997 I 638 ; TF 5C.52/2005 du 1er juillet 2005, consid. 4.1). La ferme volonté exprimée par l'enfant prend de l'importance lorsqu'il peut développer sa propre volonté à propos de l'autorité parentale, soit vers l'âge de 12-14 ans.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les réf. cit.). Plus l'enfant est âgé, plus une décision contraire à sa volonté clairement exprimée doit être motivée et reposer sur des motifs importants (art. 133 al. 2 CC). Confronté à l'opinion tranchée d'un enfant ayant atteint cet âge et avec le degré de maturité correspondant, le juge doit motiver une éventuelle décision contraire (Meier/Stettler, Droit de la filiation, 6e éd., Bâle 2019, n. 704, p. 473). 4.3 En l'espèce, le premier juge, après avoir rappelé qu'à première vue, aucun élément du dossier ne permettait de douter des capacités</w:t>
      </w:r>
    </w:p>
    <w:p>
      <w:r>
        <w:t>- 22 - éducatives de chacun des parents, a motivé sa décision sur ce point par le fait que le système mis en place par les parties depuis plus d'une année semblait bien fonctionner, qu'il était important de ne pas séparer la fratrie, C.W.________ l'ayant d’ailleurs expressément mentionné dans son audition, et qu'il ne relevait aucun élément rédhibitoire qui viendrait entraver la poursuite de la garde alternée telle que pratiquée depuis plus d'une année. Selon lui, on ne saurait en particulier considérer que le maintien de la garde alternée sur B.W.________ nuirait plus à son bien que le changement de réglementation et la perte de continuité dans l'éducation qui en est consécutive. En définitive, il a considéré qu'il y avait lieu, dans l'intérêt des enfants qui devaient pouvoir développer une relation équivalente tant avec leur mère qu'avec leur père, de maintenir la garde alternée telle que mise en place. Certes, B.W.________, qui aura 15 ans en juin, a indiqué qu'elle souhaitait vivre exclusivement avec sa mère. Elle fonde ce souhait sur une ambiance et des règles de vie différentes chez son père, ce qui la stresserait beaucoup, et sur le fait qu'elle ne s'y sent pas à l'aise sans avoir toutefois pu expliquer pourquoi. Cela étant, avec le premier juge, il n'existe aucun indice au dossier que la garde alternée mise en place ne fonctionnerait pas bien. A cet égard, la remise en question, par l’appelante, des capacités éducatives de l’intimé ne sont attestées par aucune pièce et semblent aller à l'encontre des autres éléments du dossier, étant rappelé que l'appelante a toujours été favorable à la garde alternée, même pour B.W.________ dans un premier temps. Cette dernière semble surtout ne pas goûter aux règles différentes chez son père et n'apprécie vraisemblablement pas de devoir s’occuper de ses frère et soeurs, ce que l'on peut aisément comprendre. A cet égard, on relève toutefois que seul E.W.________, âgé de 8 ans et demi, pourrait devoir encore nécessiter une attention particulière et que C.W.________, qui a quasiment 13 ans, et D.W.________, qui a 11 ans et demi, devraient également être aptes à s’occuper de leur petit frère au retour de l’école. Il est toutefois dans l'intérêt d'un enfant, même – voire surtout – adolescent, de partager des relations avec ses deux parents quand rien ne s'y oppose comme en l'espèce. De plus, il faut dans toute la mesure possible</w:t>
      </w:r>
    </w:p>
    <w:p>
      <w:r>
        <w:t>- 23 - maintenir la fratrie ensemble. Quant au fait que B.W.________ se sente plus proche de sa mère, il faut relever qu’elle la voit la moitié du temps et que vu son âge, rien ne l’empêche de lui rendre des visites lorsqu’elle en ressent le besoin au vu de la distance peu importante qui sépare les domiciles des deux parents (soit 1,3 kilomètre selon le site internet www.viamichelin.com). En définitive, on peut admettre qu’au regard de l’ensemble des circonstances et à l’issue d’une pesée des intérêts entre le souhait de B.W.________ – qui a presque 15 ans – de vivre chez sa mère, chez qui elle se sentirait mieux, d’une part, et les besoins de maintenir un lien étroit avec ses deux parents et de ne pas séparer la fratrie, d’autre part, il apparaît dans l’intérêt de l’ensemble de la famille de maintenir la garde alternée pour l’ensemble des enfants, même s’il faut admettre que cette question n’est pas évidente à trancher. La décision du premier juge doit donc être confirmée sur ce point. Cela étant, l'attention de l'intimé est attirée sur le fait que B.W.________ ne doit pas avoir à assumer ses frères et soeurs et qu'au vu de son âge, elle doit pouvoir avoir la liberté – à des moments toutefois opportuns – de rendre visite à sa mère si elle le souhaite, contrairement à ce qui semblait prévaloir jusqu’ici. Partant, ce moyen doit être rejeté. 5. 5.1 L'appelante conteste ensuite la mise à sa charge d'un revenu hypothétique à 70%. Quant à l'intimé, il fait valoir dans sa réponse que l'appelante devrait prendre un travail salarié et se fonde sur le comparateur Salarium pour soutenir que son revenu hypothétique devrait être de 4'580 francs. 5.2 Pour fixer la contribution d'entretien, le juge doit en principe tenir compte du revenu effectif des parties. Le débiteur d'entretien et le créancier peuvent néanmoins se voir imputer un revenu hypothétique supérieur. Il s'agit ainsi d'inciter la personne à réaliser le revenu qu'elle est en mesure de se procurer et qu'on peut raisonnablement exiger d'elle afin</w:t>
      </w:r>
    </w:p>
    <w:p>
      <w:r>
        <w:t>- 24 - de remplir ses obligations (ATF 143 III 233 consid. 3.2 ; TF 5A_191/2021 du</w:t>
      </w:r>
    </w:p>
    <w:p>
      <w:r>
        <w:rPr>
          <w:b/>
        </w:rPr>
        <w:t>E. 22</w:t>
      </w:r>
    </w:p>
    <w:p>
      <w:r>
        <w:t>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Lorsqu'un parent, déjà gardien d'un enfant, met au monde un autre enfant avec un nouveau partenaire et qu'il se voit attribuer la garde de cet enfant, une contribution pourra être due par plusieurs débiteurs, soit les pères des différents enfants. La perte de capacité de gain du parent gardien doit alors être assumée par l'autre parent de chaque enfant dans la mesure où son enfant l'occasionne. Ainsi, un revenu hypothétique peut être imputé au parent gardien en tenant compte de la situation et de l'âge de l'enfant premier né, nonobstant la naissance postérieure d'un ou plusieurs enfants. Le père du premier enfant ne doit en effet pas subir de désavantage financier du fait de la naissance ultérieure d'un enfant dont il n'est pas le père. Lorsque la perte de capacité de gain de la mère est causée par la venue d'un enfant non commun, ce gain perdu doit être comblé par la contribution de prise en charge du père de l'enfant puîné (CACI 31 janvier 2022/45, JdT 2022 III 163).</w:t>
      </w:r>
    </w:p>
    <w:p>
      <w:r>
        <w:t>- 25 - Selon le Tribunal fédéral, on est en droit d'attendre du parent gardien, en principe, qu'il commence ou recommence à travailler à 50 % dès l'entrée de l'enfant à l'école obligatoire et à 80 % à partir du moment où celui-ci fréquente le degré secondaire (ATF 144 III 481 consid. 4.7.6).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de l'enfant (Stoudmann, La contribution de prise en charge, in Fountoulakis/Jungo [édit.], Entretien de l'enfant et prévoyance professionnelle, 2018, pp. 83 ss, spéc. P. 88 ; Juge déléguée CACI 24 janvier 2020/39 consid. 4.2.2 ; Juge délégué CACI 11 juin 2019/321 consid 8.3.2). 5.3 En l'espèce, compte tenu de la jurisprudence rappelée ci- dessus, c'est à juste titre que le premier juge n'a pas tenu compte de la naissance de l'enfant [...] en mettant un revenu hypothétique à la charge de l'appelante. C'est en effet au père de [...] de pallier la perte de capacité de gain que cette enfant occasionne. Ce grief doit ainsi être rejeté. Quant au point de vue de l’intimé, il ne peut être suivi. En effet, l'appelante a certes un CFC de gestionnaire en intendance mais elle n'a travaillé dans ce domaine que deux ans jusqu'en 2007. Depuis, elle a effectué une formation de styliste ongulaire et exerce cette activité à titre indépendant. Rien ne démontre qu'elle gagnerait plus en étant salariée et les chiffres de son activité sont à notre disposition. En outre, compte tenu du fait qu'elle a quatre enfants à charge la moitié du temps et un cinquième à plein temps, les frais de garde et les éventuels frais de déplacement qui résulteraient d'une activité salariée dépasseraient</w:t>
      </w:r>
    </w:p>
    <w:p>
      <w:r>
        <w:t>- 26 - l'éventuelle hausse de son revenu, alors qu'en travaillant à la maison elle est plus disponible pour les enfants, sans que cela n'engendre aucun frais de garde. 6. 6.1 L'appelante conteste ensuite les frais de transport retenus par le premier juge à charge de l'intimé. Elle conteste les 21,7 jours ouvrés par mois retenus et le montant de 0,70 fr. le kilomètre et soutient qu'il faudrait se fonder sur un graphique du TCS. Elle conteste également les frais de repas, dans la mesure où ils sont fondés sur une moyenne mensuelle de 21,7 jours qui ne tiendrait pas compte des vacances et des jours fériés. 6.2 Pour calculer les frais de véhicule, sont pris en compte les coûts fixes et variable (frais d’essence, primes d’assurance, montant approprié pour l’entretien), y compris l’amortissement (TF 5A_779/2015 du 12 juillet 2016 consid. 5.3.3.2, FamPra.ch 2016 p. 976). A cet égard, il est admissible de tenir compte d’un forfait par kilomètre, englobant l’amortissement (TF 5A_779/2015 du 12 juillet 2016 consid. 5.3.3.2, FamPra.ch 2016 p. 976 où la première instance avait appliqué un forfait de 60 ct/km, s’agissant d’un petit véhicule). La jurisprudence fédérale admet un forfait de 60 à 70 ct/km (TF 5A_532/2021 du 22 novembre 2021 consid. 3.4). La jurisprudence vaudoise retient de manière générale que les frais de transport d’une personne travaillant à plein temps peuvent être déterminés à raison d’un forfait de 70 ct par kilomètre, en tenant compte de 21,7 jours ouvrables par mois (Juge délégué CACI 15 août 2018/467 ; Juge délégué CACI 17 décembre 2020/539 ; CACI 7 décembre 2021/585). 6.3 Le premier juge a retenu des frais de transport de 911 fr. 40 par mois. Il a pris en compte un montant de 70 ct. le kilomètre, une moyenne de 21.7 jours travaillés en moyenne par mois, le fait que l’intimé se rendait trois fois par semaine sur son lieu de travail et effectuait 50 km par trajet simple. Son calcul était ainsi le suivant 2 x 50 km x 21.7 jours x 0,7 fr. x 60%. Cette manière schématique de calculer les frais de transport</w:t>
      </w:r>
    </w:p>
    <w:p>
      <w:r>
        <w:t>- 27 - est conforme aux règles jurisprudentielles et ne prête donc pas le flanc à la critique. II en va de même de la manière de calculer les frais de repas, également fondée sur un nombre de jours mensuel moyen de 21,7 jours. Ces griefs doivent donc également être rejetés. 7. L'appelante soutient enfin qu'il faudrait tenir compte de l'enfant [...] dans son minimum vital. Comme on l’a vu plus haut (cf. consid. 4.2), le père du premier enfant ne doit pas subir de désavantage financier du fait de la naissance ultérieure d'un enfant dont il n'est pas le père. Partant, ce grief doit être rejeté. 8. 8.1 Au surplus, les griefs découlant du transfert de la garde de B.W.________ sont sans objet. En définitive, les griefs de l’appelante sont tous rejetés. S’agissant du calcul des contributions d’entretien, il n’est pas remis en cause et n’apparaît pas manifestement incorrect, de sorte que les contributions d’entretien retenues par le premier juge peuvent être confirmées. Partant, l’appel doit être rejeté. 8.2 L’intimé, dans sa réponse, soulèvent également plusieurs griefs. Il soutient en substance qu'il y aurait lieu de tenir compte, dans ses charges de 300 fr. de frais de transport supplémentaires pour les activités ménagères et de loisirs, ainsi que de ses primes de troisième pilier, que la part du loyer de l’appelante et celles des enfants aurait été mal calculée et que les dépens de première instance auraient dû être mis à la charge de l’appelante. A l’issue d’un examen prima facie de ces griefs, il faut admettre que ceux-ci ne représentent pas des vices manifestes, de sorte qu’ils n’ont pas à être examinés (cf. consid. 2.1 ci-avant). Ils ne sont de</w:t>
      </w:r>
    </w:p>
    <w:p>
      <w:r>
        <w:t>- 28 - toute manière pas susceptibles d’amener à un résultat différent, l’appel étant rejeté. 8.3 Vu l’issue de l’appel, les frais judiciaires de deuxième instance, fixés à 600 fr. (art. 65 al. 2 TFJC [tarif des frais judiciaires civils du 28 septembre 2010 ; BLV 270.11.5], seront mis à la charge de l’appelante, qui succombe (art. 106 al. 1 CPC). Ils seront toutefois provisoirement laissés à la charge de l’Etat compte tenu de l’assistance judiciaire octroyée. 8.4 L’appelante versera à l’intimé des dépens fixés à 2’500 fr., l’assistance judiciaire ne dispensant pas du versement de dépens à la partie adverse (art. 118 al. 3 CPC). 8.5 Il y a encore lieu de fixer l'indemnité du conseil d'office de l’appelante, Me Manuel Ryter Godel. Dans sa liste d’opérations du 22 mai 2023, cette dernière a indiqué avoir consacré 10 heures et 30 minutes au dossier. Vu la nature du litige et les difficultés de la cause, il y a lieu de considérer ce nombre d’heures comme adéquat. Il s'ensuit qu'au tarif horaire de 180 fr. pour un avocat, l'indemnité de Me Manuel Ryter Godel doit être fixée à 1’890 fr., montant auquel s’ajoutent les débours par 37 fr. 80 (2 % de 1’890 fr. ; art. 3bis al. 1 RAJ) et la TVA sur le tout par 148 fr. 45, soit 2'076 fr. 25. 8.6 La bénéficiaire de l’assistance judiciaire est tenue au remboursement des frais judiciaires et de l’indemnité due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r>
        <w:t>- 29 - Par ces motifs, la juge unique de la Cour d’appel civile prononce : I. L'appel est rejeté. II. L'ordonnance est confirmée. III. Les frais judiciaires de deuxième instance, arrêtés à 600 fr. (six cents francs) à la charge de l’appelante L.W.________, sont provisoirement supportés par l’Etat. IV. L’appelante L.W.________ versera le montant de 2’500 fr. (deux mille cinq cents francs) à l’intimé A.W.________ à titre de dépens. V. L’indemnité d’office de Me Manuela Ryter Godel, conseil d’office de l’appelante L.W.________, est arrêtée à 2'076 fr. 25 (deux mille septante-six francs et vingt-cinq centimes), TVA et débours compris. VI. La bénéficiaire de l’assistance judiciaire est tenue au remboursement des frais judiciaires et de l’indemnité à son conseil d’office supportés provisoirement par l’Etat, dès qu’elle sera en mesure de le faire. VII. L’arrêt est exécutoire. La juge unique : La greffière :</w:t>
      </w:r>
    </w:p>
    <w:p>
      <w:r>
        <w:t>- 30 - Du Le présent arrêt, dont la rédaction a été approuvée à huis clos, est notifié en expédition complète à : - Me Manuela Ryter Godel (pour L.W.________) - Me Alex Rüedi (pour A.W.________), et communiqué, par l'envoi de photocopies, à : - M. le Président du Tribunal civil de l’arrondissement de La Broye et du Nord vaudois, - B.W.________, dans la mesure où la décision la concerne.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