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JS21.034020 vom 12. April 2022</w:t>
      </w:r>
    </w:p>
    <w:p>
      <w:r>
        <w:t>VD Tribunal cantonal, 2022-04-12, FR</w:t>
      </w:r>
    </w:p>
    <w:p>
      <w:r>
        <w:rPr>
          <w:b/>
        </w:rPr>
        <w:t xml:space="preserve">Quelle: </w:t>
      </w:r>
      <w:r>
        <w:t>https://mcp.opencaselaw.ch/entscheid/vd_gerichte_JS21.034020</w:t>
      </w:r>
    </w:p>
    <w:p>
      <w:r>
        <w:t>FR: VD_GERICHTE JS21.034020 du 12 avril 2022</w:t>
      </w:r>
    </w:p>
    <w:p>
      <w:r>
        <w:t>IT: VD_GERICHTE JS21.034020 del 12 aprile 2022</w:t>
      </w:r>
    </w:p>
    <w:p>
      <w:pPr>
        <w:pStyle w:val="Heading2"/>
      </w:pPr>
      <w:r>
        <w:t>Erwägungen</w:t>
      </w:r>
    </w:p>
    <w:p>
      <w:r>
        <w:rPr>
          <w:b/>
        </w:rPr>
        <w:t>E. 9</w:t>
      </w:r>
    </w:p>
    <w:p>
      <w:r>
        <w:t>octobre 2017 consid. 3.1).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déjà cité, consid. 3.2.1). La jurisprudence a voulu ainsi éviter que le juge statue sur la contribution d'entretien de l'enfant et du conjoint sur la base d'un état de fait différent, sous prétexte que le procès n'est pas soumis aux mêmes maximes dans un cas et dans l'autre (TF 5A_67/2020 du 10 août 2020 consid. 3.3.2 ; TF 5A_361/2011 du 7 décembre 2011 consid. 5.3). Même en appliquant à l’époux la maxime inquisitoire illimitée compte tenu de la présence d’enfants mineurs, on ne saurait toutefois admettre une entorse au principe de disposition auquel la pension du conjoint est soumise (TF 5A_277/2019 du 25 septembre 2019 consid. 3. ; TF 5A_757/2013 du 14 juillet 2014 consid. 2.1). 2.3 2.3.1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w:t>
      </w:r>
    </w:p>
    <w:p>
      <w:r>
        <w:t>- 17 - Lorsque le procès est soumis à la maxime inquisitoire illimitée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n’est pas arbitraire de mettre aussi à profit pour l’entretien du conjoint les éléments dont le juge a eu connaissance sur la base de nova en rapport avec l’entretien de l’enfant (TF 5A_800/2019 du 9 février 2021 consid. 2). 2.3.2 En l’espèce, la procédure concerne en particulier le sort des enfants mineurs des parties, soit les modalités de leur prise en charge pratique et financière. La cause, dans son intégralité, est ainsi soumise à la maxime inquisitoire illimitée. Il s’ensuit que les pièces produites et les faits allégués avant la clôture des débats de deuxième instance sont recevables et il en a été tenu compte dans la mesure de leur utilité. La pièce produite par [...] et le contenu des déterminations de l’appelante du 28 mars 2022 sont toutefois irrecevables, ceux-ci étant postérieurs au début des délibérations. Quoi qu’il en soit, à supposer qu’il faille en tenir compte, ces éléments n’auraient pas eu d’incidence sur le résultat de l’appel. 3. 3.1 L’appelante conteste le revenu de l’appelant tel qu’arrêté par le premier juge. C’est, d’après elle, d’un revenu qui n’est pas inférieur à 7'000 fr. dont il faudrait tenir compte, au regard des déclarations de l’appelant. Quand bien même son entreprise serait désormais radiée, il faudrait imputer à l’appelant un revenu hypothétique sans lui accorder de délai d’adaptation. De son côté, l’appelant soutient que ses revenus s’élevaient au mieux à 2'200 fr. par mois jusqu’à la fin de l’activité de son entreprise individuelle et qu’il ne percevrait en l’état aucun revenu.</w:t>
      </w:r>
    </w:p>
    <w:p>
      <w:r>
        <w:t>- 18 - 3.2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137 III 102 consid. 4.2.2.2 ; TF 5A_484/2020 du 16 février 2021 consid. 5.1 ; TF 5A_433/2020 du 15 décembre 2020 consid. 4.1 ; TF 5A_600/2019 du 9 décembre 2020 consid. 5.1.1). Le juge doit ainsi examiner successivement deux conditions. Il doit d'abord déterminer si 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4.3 ;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w:t>
      </w:r>
    </w:p>
    <w:p>
      <w:r>
        <w:t>- 19 -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 3.3 3.3.1 En l’espèce, du temps de la vie commune, les parties ont choisi ensemble de constituer la raison individuelle P.________, au sein de laquelle l’appelante travaillait également. Il ressort du dossier qu’après la séparation, l’appelant n’a pas été en mesure de faire perdurer cette activité, de sorte que ladite raison individuelle a été radiée le 9 mars 2022 et qu’il ne perçoit vraisemblablement plus aucun revenu depuis lors. Du temps de son activité indépendante, l’appelant a déclaré à l’administration fiscale, pour l’année 2020, un revenu de 14'144 fr. pour six mois, soit 2'300 fr. par mois. S’agissant de l’année 2021, il ressort de la comptabilité provisoire pour les mois d’août et de septembre, un résultat mensuel de 2'293 fr. 85 (4'587 fr. 65 / 2). Quant à la pièce requise 51, elle met en évidence un résultat mensuel de 1'930 fr. jusqu’au 30 septembre 2021. L’appelant a toutefois allégué qu’il percevait, avant la séparation, un revenu compris entre 5'000 fr. et 7'000 fr. (cf. all. 54 de la réponse du 30 août 2021) et a déclaré à la police qu’il percevait un revenu de l’ordre de 7'000 fr., soit un revenu bien supérieur aux chiffres ressortant des pièces comptables précitées. L’appelant a allégué que ses revenus avaient baissé après la séparation (cf. all. 55 de la réponse du 30 août 2021). Il a toutefois été en mesure de prélever la somme de 30'000 fr. sur le compte bancaire de l’entreprise entre le 28 juillet et le 16 août 2021 – qui représente, sur six mois, la somme mensuelle de 5'000 francs. Compte tenu de ces retraits et des déclarations de l’appelant, notamment à la police, on admettra un revenu moyen de l’ordre de 5'500 fr., comme retenu par l’ordonnance entreprise, pour la période comprise entre la séparation et la radiation de l’entreprise de l’appelant, soit du 1er août 2021 au 28 février 2022. On ne</w:t>
      </w:r>
    </w:p>
    <w:p>
      <w:r>
        <w:t>- 20 - peut toutefois pas inférer des déclarations de l’appelant ou de l’allégué 54 qu’il se référait à un revenu net mais on doit plutôt considérer qu’il s’agissait de son revenu brut et y opérer les déductions qui s’imposent. On retiendra ainsi un revenu net de 4'675 fr. (5'500 fr. x 15 %) pour la période du 1er août 2021 au 28 février 2022. 3.3.2 Pour la période postérieure à celle de la radiation de l’entreprise de l’appelant, il convient d’examiner si un revenu hypothétique peut lui être imputé. L’appelant, âgé de 37 ans, en bonne santé, dispose d’une expérience en qualité d’indépendant dans le domaine de l’électroménager. Il est ainsi en mesure de trouver un emploi dans une société du domaine, au regard de son expérience professionnelle. On précisera qu’il ressort du point presse de la Direction du travail du SECO du 7 janvier 2022 que le manque de main d’œuvre qualifiée a retrouvé le niveau d’avant la crise liée au Covid-19 déjà au troisième trimestre 2021 et qu’une reprise est attendue pour ce printemps, le taux de chômage ayant du reste baissé au mois de mars 2022. Le marché du travail n’apparaît ainsi en l’état pas défavorable. S’agissant du revenu pouvant être perçu par l’appelant, il ressort du site Internet Salarium que le salaire médian versé douze fois l’an à un homme de 37 ans, sans formation professionnelle, titulaire d’un permis d’établissement, travaillant 41,5 heures par semaine dans la branche de la réparation et de l’installation de machines et d'équipements (catégorie 33), dans un métier qualifié du bâtiment et assimilé (catégorie 71), sans fonction de cadre, dans une entreprise de moins de vingt employés, s’élève à 5'309 fr. brut, soit 4'512 fr. 65 (4'863 fr. – 15 %]) net. C’est dès lors d’un revenu hypothétique net de 4'500 fr. dont il doit être tenu compte. Dans la mesure où l’appelant n’avait pas été rendu attentif au fait qu’un revenu hypothétique pourrait lui être imputé et compte tenu du fait qu’il a essayé de faire perdurer son activité indépendante – décidée d’un commun accord du temps de la vie commune – on accordera à l’appelant un délai de quatre mois depuis la</w:t>
      </w:r>
    </w:p>
    <w:p>
      <w:r>
        <w:t>- 21 - date de l’audience d’appel. C’est dès lors à compter du 1er juillet 2022 qu’un tel revenu lui sera imputé. 4. 4.1 L’appelante conteste le loyer hypothétique retenu dans les charges de l’appelant et se plaint de ce qu’il n’ait pas été tenu compte du coût du garage dans ses propres charges. Elle requiert en outre qu’il soit tenu compte de 150 fr. par mois dans ses charges pour ses frais d’avocat. L’appelant soutient qu’une fois ses propres charges couvertes, il ne serait pas en mesure de contribuer à l’entretien de ses enfants. 4.2 4.2.1 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w:t>
      </w:r>
    </w:p>
    <w:p>
      <w:r>
        <w:t>- 22 - parent (TF 5A_727/2018 du 22 août 2019 consid. 4.3.2.2 ; TF 5A_339/2018 du 8 mai 2019 consid. 5.4.3 ; TF 5A_583/2018 du 18 janvier 2019 consid. 5.1 in fine ; TF 5A_584/2018 du 10 octobre 2018 consid. 4.3). 4.2.2 Composent l’entretien convenable de l’enfant les coûts directs générés par celui-ci et les coûts, indirects, liés à sa prise en charge (ATF 144 III 377 consid. 7). Si, et uniquement si, en raison de ressources financières insuffisantes, le montant assurant l’entretien convenable de l’enfant, calculé selon le minimum vital LP, ne peut pas être couvert (situation de manco), il doit être indiqué dans la convention ou le jugement fixant l’entretien (art. 287a let. c CC et 301a let. c CPC ; ATF 147 III 265 consid. 5.6 ; TF 5A_441/2019 du 25 octobre 2019 consid. 3.2.2). Dans l’ATF 147 III 265,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consid. 6.6 in fine). 4.2.3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w:t>
      </w:r>
    </w:p>
    <w:p>
      <w:r>
        <w:t>- 23 -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1er juin 2016 consid. 4.3.1)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4.2.4 Selon la jurisprudence, seules les charges effectives, à savoir celles qui sont réellement acquittées, peuvent être prises en compte pour le calcul de la contribution d'entretien (ATF 121 III 20 consid. 3a et les réf. citées ; TF 5A_5/2020 du 27 avril 2020 consid. 3.3 ; TF 5A_361/2019 du 21 février 2020 consid. 5.3 ; 5A_889/2018 du 15 mai 2019 consid. 3.2.1 ; TF 5A_771/2018 du 28 mars 2019 consid. 3.2), à l'exclusion de dépenses hypothétiques dont on ne sait si elles existeront finalement – et à concurrence de quel montant – ni si elles seront en définitive assumées (TF 5A_405/2019 du 24 février 2020 consid. 5.2 ; TF 5A_751/2008 du 31 mars 2009 consid. 3.1). Ce principe s’applique également au loyer (TF 5A_272/2019 et 5A_273/2019 du 9 juin 2020 consid. 4.2.3). 4.2.5 Les frais d’avocat ne font pas partie du minimum vital au sens strict (TF 5A_600/2019 du 9 décembre 2020 consid. 4.3.1 et 4.3.2). Lorsque la situation financière est serrée, la franchise mensuelle dont</w:t>
      </w:r>
    </w:p>
    <w:p>
      <w:r>
        <w:t>- 24 - l'époux doit s'acquitter en remboursement de l'assistance judiciaire qui lui a été accordée ne doit pas être prise en compte dans les charges incompressibles (Juge délégué CACI 21 octobre 2021/504 consid. 5.2.1 et les réf. citées) 4.3 4.3.1 En l’espèce, il n’y a pas lieu de tenir compte d’un loyer hypothétique dans les charges de l’appelant, ce d’autant moins qu’en l’état, les parties sont convenues que le droit de visite sur les enfants s’exercerait par l’intermédiaire du Point rencontre. C’est dès lors une charge de loyer de 1'080 fr. qui a été comptabilisée dans les charges de l’appelant, arrêtées à 2'783 fr. 15 (cf. supra ch. 5ba). Il s’ensuit que le budget de l’appelant présente un disponible de 1'891 fr. 85 (4'675 fr. – 2'783 fr. 15) du 1er août 2021 au 28 février 2022, un manco de 2'783 fr. 15 du 1er mars au 30 juin 2022 et un disponible de 1'716 fr. 85 dès le 1er juillet 2022 (4'500 fr. – 2'783 fr. 15). 4.3.2 Pour ce qui est de l’appelante et des enfants, il y a lieu de tenir compte du loyer de 1'950 fr., place de parc comprise, le prix de la location du garage et de l’appartement étant acquitté à la gérance sous la forme d’un seul paiement mensuel, conformément à ce qui ressort de la pièce 9 du bordereau du 27 août 2021. Il n’y a toutefois pas lieu de tenir compte de frais d’avocat ou de la franchise d’assistance judiciaire au regard de la jurisprudence rappelée ci-avant (cf. supra consid. 4.2.5) et de la situation financière serrée des parties. Il s’ensuit que les charges de l’appelante sont arrêtées à 3'195 fr. 25, y compris une charge de loyer de 1'365 fr. (cf. supra ch. 5bb). Quant aux coûts directs des enfants, allocations familiales déduites, ils sont arrêtés à 426 fr. 25 s’agissant d’U.________, à 423 fr. 15 pour ce qui est de G.________ et à 265 fr. 55 s’agissant d’E.________, charge de loyer de 195 fr. (1'950 fr. x 10 %) comprise (cf. supra ch. 5bc).</w:t>
      </w:r>
    </w:p>
    <w:p>
      <w:r>
        <w:t>- 25 - 4.3.3 Puisque l’appelante ne réalise aucun revenu, son budget présente un manco de 3'195 fr. 25, qu’il y a lieu de répartir entre les trois enfants au titre de contribution de prise en charge, soit 1'065 fr. 10 par enfant. Le montant assurant l’entretien convenable des enfants s’élève ainsi à 1'491 fr. 35 (426 fr. 25 + 1'065 fr. 10) s’agissant d’U.________, à 1'488 fr. 25 (423 fr. 15 + 1'065 fr. 10) pour ce qui est de G.________ et à 1'330 fr. 65 (265 fr. 55 + 1'065 fr. 10) s’agissant d’E.________. Ce montant devra figurer dans le dispositif du présent arrêt, puisqu’il n’est pas couvert (cf. supra consid. 4.2.2). 4.3.4 En définitive, la contribution d’entretien en faveur de chacun des enfants doit être arrêtée, en chiffres arrondis, à 630 fr. (1'891 fr. 85 / 3) du 1er août 2021 au 28 février 2022 et à 570 fr. (1'716 fr. 85/3) dès le 1er juillet 2022, l’appelant n’étant pas en mesure de contribuer à l’entretien de ses enfants pour la période du 1er mars au 30 juin 2022. 5. 5.1 Au vu de ce qui précède, les deux appels doivent être partiellement admis et l’ordonnance entreprise réformée au chiffre V de son dispositif en ce sens que le droit de visite de l’appelant s’exercera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L’ordonnance doit également être réformée aux chiffres VI à VIII de son dispositif en ce sens que le montant assurant l’entretien convenable d’U.________ s’élève à 1'491 fr. 35, que le montant assurant l’entretien convenable de G.________ s’élève à 1'488 fr. 25 et que le montant assurant l’entretien convenable d’E.________ s’élève à 1'330 fr. 65. Il convient encore de réformer les chiffres IX à XI du dispositif de l’ordonnance entreprise en ce sens que la contribution en faveur de chacun des enfants s’élève 630 fr. du 1er août 2021 au 28 février 2022 et</w:t>
      </w:r>
    </w:p>
    <w:p>
      <w:r>
        <w:t>- 26 - à 570 fr. dès le 1er juillet 2022, aucune contribution n’étant due du 1er mars au 30 juin 2022. 5.2 Les frais judiciaires, arrêtés à 1'400 fr., soit 600 fr. pour chaque appel et 200 fr. pour la procédure d’effet suspensif (art. 7, 60 et 65 al. 2 TFJC [tarif des frais judiciaires civils du 28 septembre 2010 ; BLV 270.11.5]), seront répartis par moitié entre les parties (art. 107 al. 1 let. c CPC) et provisoirement assumés par l’Etat compte tenu de l’assistance judiciaire (art. 122 al. 1 let. b CPC). La répartition des frais judiciaires justifie de compenser les dépens de deuxième instance. 5.3 5.3.1 Dans sa liste des opérations du 9 mars 2022, Me Gaëtan- Charles Barraud indique avoir consacré 29,6 heures à la procédure d’appel, ce qui est excessif au regard de la nature de l’affaire, quand bien même celle-ci a nécessité la tenue de deux audiences d’appel et l’envoi de plusieurs courriers en lien avec les difficultés d’exercice du droit de visite de l’appelant. En particulier, le conseil prénommé – qui n’a pas rédigé d’acte d’appel – indique avoir consacré plus de onze heures à la rédaction de courriers (hors déterminations). On réduira cette durée de six heures et on admettra 23,6 heures de travail d’avocat, de sorte que l’indemnité de Me Gaëtan-Charles Barraud peut être arrêtée à 4'248 fr. (23,6 x 180 fr.), montant auquel s’ajoutent 240 fr. pour deux forfaits de vacation, 84 fr. 95 à titre de débours forfaitaires et la TVA de 7,7 % sur le tout, par 352 fr. 10, ce qui donne un total de 4'925 fr. 05 (cf. art. 2 al. 1 let. a et 3bis RAJ [règlement sur l'assistance judiciaire en matière civile du 7 décembre 2010 ; BLV 211.02.3]). 5.3.2 Dans sa liste des opérations du 15 mars 2022, Me Christian Giauque indique avoir consacré 40 h 48 au dossier, dont 36 h 28 effectuées par sa stagiaire. On admettra la durée annoncée pour le travail effectué par la stagiaire mais on ne tiendra compte que d’une heure de travail d’avocat, à titre de contrôle, le dossier ayant apparemment été intégralement traité par la stagiaire au regard des opérations annoncées. Il s’ensuit que l’indemnité de Me Christian Giauque peut être arrêtée à</w:t>
      </w:r>
    </w:p>
    <w:p>
      <w:r>
        <w:t>- 27 - 4'191 fr. 35 ([36 h 28 x 110 fr.] + 180 fr.), montant auquel s’ajoutent deux forfaits de vacation, par 160 fr., 83 fr. 85 à titre de débours forfaitaires, et la TVA sur le tout, par 341 fr. 50, ce qui donne un total de 4'776 fr. 70 (cf. art. 2 al. 1 let. a et b et art. 3bis RAJ). 5.3.3 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Les appels sont partiellement admis. II. L’ordonnance est réformée aux chiffres V à XI de son dispositif comme il suit : V. dit qu'à défaut d'entente entre les parents, B.H.________ exercera un droit de visite sur ses trois enfants, au Point rencontre, un samedi toutes les deux semaines pendant six heures avec possibilité de sortie, selon le règlement et les lignes directrices de Point rencontre que les deux parties s’engagent à respecter, et ce à tout le moins jusqu’à reddition du rapport d’enquête confié à l’UEMS de la DGEJ ;</w:t>
      </w:r>
    </w:p>
    <w:p>
      <w:r>
        <w:t>- 28 - VI. dit que le montant assurant l'entretien convenable d'U.________, né le [...], s'élève à 1'491 fr. 35 (mille quatre cent nonante et un francs et trente-cinq centimes) ; VII dit que le montant assurant l'entretien convenable de G.________, née le [...], s'élève à 1'488 fr. 25 (mille quatre cent huitante-huit francs et vingt-cinq centimes) ; VIII dit que le montant assurant l'entretien convenable d'E.________, né le[...] 2019, s'élève à 1'330 fr. 65 (mille trois cent trente francs et soixante-cinq centimes) ; IX. dit que B.H.________ contribuera à l'entretien de son fils U.________ par le régulier versement d'une pension mensuelle de 630 fr. (six cent trente francs), du 1er août 2021 au 28 février 2022, et de 570 fr. (cinq cent septante francs), dès le 1er juillet 2022, allocations familiales en sus, payable d'avance le premier de chaque mois en main de A.H.________, étant précisé qu’aucune contribution n’est due pour la période du 1er mars au 30 juin 2022 ; X. dit que B.H.________ contribuera à l'entretien de sa fille G.________ par le régulier versement d'une pension mensuelle de 630 fr. (six cent trente francs), du 1er août 2021 au 28 février 2022, et de 570 fr. (cinq cent septante francs), dès le 1er juillet 2022, allocations familiales en sus, payable d'avance le premier de chaque mois en main de A.H.________, étant précisé qu’aucune contribution n’est due pour la période du 1er mars au 30 juin 2022 ; Xl. dit que B.H.________ contribuera à l'entretien de son fils E.________ par le régulier versement d'une pension mensuelle de 630 fr. (six cent trente francs) du 1er août 2021 au 28 février 2022 et de 570 fr. (cinq cent septante francs), dès le 1er juillet 2022, allocations familiales en</w:t>
      </w:r>
    </w:p>
    <w:p>
      <w:r>
        <w:t>- 29 - sus, payable d'avance le premier de chaque mois en main de A.H.________, étant précisé qu’aucune contribution n’est due pour la période du 1er mars au 30 juin 2022 ; L’ordonnance est confirmée pour le surplus. III. Les frais judiciaires de deuxième instance sont arrêtés à 700 fr. (sept cents francs) pour l’appelant B.H.________ et à 700 fr. (sept cents francs) pour l’appelante A.H.________ et sont provisoirement assumés par l’Etat compte tenu de l’assistance judiciaire. IV. Les dépens de deuxième instance sont compensés. V. L’indemnité de Me Gaëtan-Charles Barraud, conseil d’office de l’appelant B.H.________, est arrêtée à 4'925 fr. 05 (quatre mille neuf cent vingt-cinq francs et cinq centimes), TVA et débours compris. VI. L’indemnité de Me Christian Giauque, conseil d’office de l’appelante A.H.________, est arrêtée à 4'776 fr. 70 (quatre mille sept cent septante-six francs et septante centimes), TVA et débours compris. VII. Les bénéficiaires de l'assistance judiciaire sont, dans la mesure de l'art. 123 CPC, tenus au remboursement des frais judiciaires et des indemnités à leurs conseils d’office respectifs provisoirement laissés à la charge de l’Etat. VIII. L’arrêt est exécutoire.</w:t>
      </w:r>
    </w:p>
    <w:p>
      <w:r>
        <w:t>- 30 - La juge déléguée : La greffière : Du Le présent arrêt, dont la rédaction a été approuvée à huis clos, est notifié en expédition complète à : - Me Gaëtan-Charles Barraud (pour B.H.________), - Me Christian Giauque (pour A.H.________),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