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JS21.024919 vom 17. Januar 2022</w:t>
      </w:r>
    </w:p>
    <w:p>
      <w:r>
        <w:t>VD Tribunal cantonal, 2022-01-17, FR</w:t>
      </w:r>
    </w:p>
    <w:p>
      <w:r>
        <w:rPr>
          <w:b/>
        </w:rPr>
        <w:t xml:space="preserve">Quelle: </w:t>
      </w:r>
      <w:r>
        <w:t>https://mcp.opencaselaw.ch/entscheid/vd_gerichte_JS21.024919</w:t>
      </w:r>
    </w:p>
    <w:p>
      <w:r>
        <w:t>FR: VD_GERICHTE JS21.024919 du 17 janvier 2022</w:t>
      </w:r>
    </w:p>
    <w:p>
      <w:r>
        <w:t>IT: VD_GERICHTE JS21.024919 del 17 gennaio 2022</w:t>
      </w:r>
    </w:p>
    <w:p>
      <w:pPr>
        <w:pStyle w:val="Heading2"/>
      </w:pPr>
      <w:r>
        <w:t>Erwägungen</w:t>
      </w:r>
    </w:p>
    <w:p>
      <w:r>
        <w:rPr>
          <w:b/>
        </w:rPr>
        <w:t>E. 3.1</w:t>
      </w:r>
    </w:p>
    <w:p>
      <w:r>
        <w:t>L’appelant conteste l’attribution du logement conjugal à l’intimée qui serait basée sur le fait qu’une ordonnance pénale pour voies de fait qualifiées, injures et menaces qualifiées allait prochainement être rendue à son encontre, alors que la procédure n’était pas close, une opposition ayant été déposée.</w:t>
      </w:r>
    </w:p>
    <w:p>
      <w:r>
        <w:rPr>
          <w:b/>
        </w:rPr>
        <w:t>E. 3.2</w:t>
      </w:r>
    </w:p>
    <w:p>
      <w:r>
        <w:t>Si les époux ne parviennent pas à s'entendre au sujet de la jouissance de l'habitation conjugale, l'art. 176 al. 1 ch. 2 CC prévoit que le juge attribue provisoirement le logement conjugal à l'une des parties en faisant usage de son pouvoir d'appréciation.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professionnel d'un époux, qui, par exemple, exerce sa profession dans l'immeuble, ou encore l'intérêt d'un époux à pouvoir rester dans l'immeuble qui a été aménagé spécialement en fonction de son état de santé (TF 5A_524/2017 du 9 octobre 2017 consid. 6.1 et les réf.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w:t>
      </w:r>
    </w:p>
    <w:p>
      <w:r>
        <w:t>- 10 -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 consid. 6.1 et les réf. citées). Si ce second critère ne donne pas non plus de résultat clair, le juge doit alors tenir compte du statut juridique de l'immeuble et l'attribuer à celui des époux qui en est le propriétaire ou qui bénéficie d'autres droits d'usage sur celui-ci (ATF 120 II 1 consid. 2c ; TF 5A_524/2017 précité consid. 6.1 in fine et les réf. citées).</w:t>
      </w:r>
    </w:p>
    <w:p>
      <w:r>
        <w:rPr>
          <w:b/>
        </w:rPr>
        <w:t>E. 3.3</w:t>
      </w:r>
    </w:p>
    <w:p>
      <w:r>
        <w:t>L’appelant n’allègue pas ni ne démontre d’aucune manière que le logement conjugal lui serait plus utile qu’à l’intimée à l’aune des critères précités. Il convient donc d’examiner à quel époux on peut le plus raisonnablement imposer de déménager, compte tenu de toutes les circonstances. Comme le premier juge, on doit relever que l’intimée est sans emploi et peine à réintégrer le marché du travail. En juin 2021, elle était en incapacité de travail pour un mois et sa situation devait être réévaluée (certificat médical du 8 juin 2021). Sans revenu, il lui sera plus compliqué de trouver un nouveau logement, contrairement à l’appelant qui bénéficie d’une rente d’invalidité de la SUVA et d’une rente AVS. De plus, il résulte également du dossier que l’intimée souffre de la maladie de Behçet. Enfin, on constate que l’appelant a été expulsé du domicile conjugal le 17 mai 2021 en raison de violences conjugales ; depuis lors, il a trouvé une solution provisoire en logeant dans un hôtel. Au regard de ces éléments, on doit confirmer l’attribution du domicile conjugal à l’épouse, le déménagement pouvant être imposé plus raisonnablement à l’appelant.</w:t>
      </w:r>
    </w:p>
    <w:p>
      <w:r>
        <w:rPr>
          <w:b/>
        </w:rPr>
        <w:t>E. 4</w:t>
      </w:r>
    </w:p>
    <w:p>
      <w:r>
        <w:t>- 11 -</w:t>
      </w:r>
    </w:p>
    <w:p>
      <w:r>
        <w:rPr>
          <w:b/>
        </w:rPr>
        <w:t>E. 4.1</w:t>
      </w:r>
    </w:p>
    <w:p>
      <w:r>
        <w:t>L’appelant conteste devoir contribuer à l’entretien de son épouse.</w:t>
      </w:r>
    </w:p>
    <w:p>
      <w:r>
        <w:rPr>
          <w:b/>
        </w:rPr>
        <w:t>E. 4.2.1</w:t>
      </w:r>
    </w:p>
    <w:p>
      <w:r>
        <w:t>Pour fixer la contribution d'entretien due selon l'art. 176 al. 1 ch. 1 CC,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 TF 5A_930/2019 du 16 septembre 2020 consid. 4.2 et les réf. citées). En revanche, le juge des mesures provisionnelles ne doit pas trancher, même sous l’angle de la vraisemblance, les questions de fond, objet du procès en divorce (ATF 137 III 385 consid. 3.1 ; TF 5A_366/2015 du 20 octobre 2015 consid. 2.1). Le principe du clean break ne joue par conséquent en tant que tel aucun rôle dans le cadre des mesures provisionnelles rendues pour la durée de la procédure de divorce ou des mesures protectrices de l’union conjugale (TF 5A_267/2018 du 5 juillet 2018 consid. 5.3 et la réf. citée ; TF 5A_745/2015 du 15 juin 2016 consid. 4.5.2.2 et les réf. citées).</w:t>
      </w:r>
    </w:p>
    <w:p>
      <w:r>
        <w:rPr>
          <w:b/>
        </w:rPr>
        <w:t>E. 4.2.2</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w:t>
      </w:r>
    </w:p>
    <w:p>
      <w:r>
        <w:t>- 12 -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5A_754/2020 du 10 août 2021 consid. 4.3.2 ; TF 5A_645/2020 du 19 mai 2021 consid. 5.2.1).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w:t>
      </w:r>
    </w:p>
    <w:p>
      <w:r>
        <w:t>- 13 -</w:t>
      </w:r>
    </w:p>
    <w:p>
      <w:r>
        <w:rPr>
          <w:b/>
        </w:rPr>
        <w:t>E. 4.2.3</w:t>
      </w:r>
    </w:p>
    <w:p>
      <w:r>
        <w:t>On devra en outre laisser à l’époux concerné un délai adapté pour se réintégrer. Tout d'abord, la réorientation interne ainsi que le processus de candidature sur le marché du travail prennent un certain temps. Une formation continue peut également s'avérer utile pour atteindre l'objectif d'une réinsertion professionnelle adéquate et,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être adaptés, lorsqu’ils permettent la perspective d’une amélioration claire de la capacité d’autosuffisance (ATF 147 III 308 consid. 5.4).</w:t>
      </w:r>
    </w:p>
    <w:p>
      <w:r>
        <w:rPr>
          <w:b/>
        </w:rPr>
        <w:t>E. 4.3</w:t>
      </w:r>
    </w:p>
    <w:p>
      <w:r>
        <w:t>L’appelant reproche au premier juge de ne pas avoir appliqué l’art. 125 CC, soit le principe du clean break selon lequel chaque conjoint doit acquérir son indépendance économique et subvenir à ses propres besoins. Conformément aux principes jurisprudentiels exposés ci- dessus (consid. 4.2.1 supra), l’appelant invoque à tort le principe du clean break, qui n’est pas applicable dans le cadre de la présente procédure de mesures protectrices de l’union conjugale. Par ailleurs, il est en l’état prématuré d’imputer un revenu hypothétique à l’intimée, âgée de 59 ans et connue pour souffrir d’une maladie de Behçet. Elle est sans emploi depuis le printemps 2020 ensuite d’un licenciement et peine à se réintégrer sur le marché du travail. Elle a en outre produit un certificat médical attestant d’une incapacité de travail. L’argument de l’appelant relatif à l’éventuelle allocation du revenu d’insertion est également infondé, dès lors qu’il n’y a pas lieu d’en tenir compte dans les revenus, l'aide sociale étant par nature subsidiaire aux obligations d'entretien du droit de la famille (CACI 4 juillet 2018/410 ; Juge délégué CACI 26 août 2013/431). Par ailleurs, si l’appelant entendait requérir des mesures d’instruction concernant la situation de l’intimée, il convenait de le faire devant le premier juge (art. 317 CPC ; consid. 2.3</w:t>
      </w:r>
    </w:p>
    <w:p>
      <w:r>
        <w:t>- 14 - supra), ce qu’il n’a pas fait, l’instruction ayant été close lors de l’audience du 16 juillet 2021. Dans ces circonstances, l’ordonnance litigieuse doit être confirmée concernant la situation de l’intimée.</w:t>
      </w:r>
    </w:p>
    <w:p>
      <w:r>
        <w:rPr>
          <w:b/>
        </w:rPr>
        <w:t>E. 4.4</w:t>
      </w:r>
    </w:p>
    <w:p>
      <w:r>
        <w:t>L’appelant conteste encore ses charges telles que retenues par le premier juge. Ces griefs sont toutefois irrecevables puisqu’ils sont fondés sur des allégués nouveaux, à savoir des frais allégués seulement en deuxième instance concernant l’assurance-ménage, l’assurance voiture et des frais de « restauration », ainsi que des pièces nouvelles, sans démonstration que les conditions visées par l’art. 317 CPC seraient réalisées (consid. 2.3.2 supra). Contrairement à ce que l’appelant allègue, le fait qu’il soit âgé de 67 ans et qu’il soit de langue maternelle [...] ne le dispense pas de produire les pièces utiles conformément aux règles de procédure.</w:t>
      </w:r>
    </w:p>
    <w:p>
      <w:r>
        <w:rPr>
          <w:b/>
        </w:rPr>
        <w:t>E. 5.1</w:t>
      </w:r>
    </w:p>
    <w:p>
      <w:r>
        <w:t>En définitive, l’appel, mal fondé, doit être rejeté et l’ordonnance attaquée confirmée.</w:t>
      </w:r>
    </w:p>
    <w:p>
      <w:r>
        <w:rPr>
          <w:b/>
        </w:rPr>
        <w:t>E. 5.2.1</w:t>
      </w:r>
    </w:p>
    <w:p>
      <w:r>
        <w:t>Au vu du sort de la cause, l’appel était d’emblée dénué de chances de succès. Une personne raisonnable plaidant à ses propres frais aurait en effet renoncé à faire appel. Partant, la requête d’assistance judiciaire de l’appelant doit être rejetée (art. 117 let. b CPC).</w:t>
      </w:r>
    </w:p>
    <w:p>
      <w:r>
        <w:rPr>
          <w:b/>
        </w:rPr>
        <w:t>E. 5.2.2.1</w:t>
      </w:r>
    </w:p>
    <w:p>
      <w:r>
        <w:t>S’agissant de celle présentée le 29 octobre 2021 par l’intimée, elle est admise, les conditions de l’art. 117 CPC étant remplies.</w:t>
      </w:r>
    </w:p>
    <w:p>
      <w:r>
        <w:rPr>
          <w:b/>
        </w:rPr>
        <w:t>E. 5.2.2.2</w:t>
      </w:r>
    </w:p>
    <w:p>
      <w:r>
        <w:t>Le conseil d’office a droit à une rémunération équitable pour ses opérations et débours dans la procédure d’appel (art. 122 al. 1 let. a CPC). Le juge applique un tarif horaire de 180 fr. pour l’avocat (art. 2 al. 1</w:t>
      </w:r>
    </w:p>
    <w:p>
      <w:r>
        <w:t>- 15 - RAJ [règlement du 7 décembre 2010 sur l’assistance judiciaire en matière civile ; BLV 211.02.3]). Me Marina Kilchenmann, conseil de l’intimée, a produit sa liste des opérations le 12 janvier 2022 et a annoncé avoir consacré 1 heure et 40 minutes au dossier. Elle mentionne notamment 50 minutes au total de correspondance et d’entretien avec la cliente, ce qui paraît excessif pour une affaire dans laquelle aucune détermination n’a été demandée à la partie intimée (ATF 109 Ia 107 consid. 3b ; TF 5D_4/2016 du 26 février 2016 consid. 4.3.3). Partant, on retiendra une indemnité correspondant à 1 heure de travail au total, soit 180 fr., montant auquel s'ajoutent les débours par 3 fr. 60 et la TVA sur le tout par 14 fr. 15, soit un montant arrondi de 198 francs.</w:t>
      </w:r>
    </w:p>
    <w:p>
      <w:r>
        <w:rPr>
          <w:b/>
        </w:rPr>
        <w:t>E. 5.2.2.3</w:t>
      </w:r>
    </w:p>
    <w:p>
      <w:r>
        <w:t>La bénéficiaire de l’assistance judiciaire remboursera l’indemnité de son conseil d’office, provisoirement laissée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121.02]).</w:t>
      </w:r>
    </w:p>
    <w:p>
      <w:r>
        <w:rPr>
          <w:b/>
        </w:rPr>
        <w:t>E. 5.3</w:t>
      </w:r>
    </w:p>
    <w:p>
      <w:r>
        <w:t>Vu le sort de l’appel, les frais judiciaires de deuxième instance, arrêtés à 800 fr., soit 600 fr. d’émolument de décision (art. 65 al. 2 TFJC [tarif des frais judiciaires civils du 28 septembre 2010 ; BLV 270.11.5]) et 200 fr. pour l’ordonnance d’effet suspensif (art. 7 al. 1 et 60 TFJC par analogie), sont mis à la charge de l’appelant (art. 106 al. 1 CPC). Il est précisé que le dispositif de l’ordonnance d’effet suspensif du 1er novembre 2021 précise d’ores et déjà que les frais judiciaires de ladite ordonnance par 200 fr. sont mis à la charge de l’appelant. Il n’est pas alloué de dépens, l’intimée n’ayant pas été invitée à se déterminer.</w:t>
      </w:r>
    </w:p>
    <w:p>
      <w:r>
        <w:t>- 16 - Par ces motifs, la Juge déléguée de la Cour d’appel civile prononce : I. L’appel est rejeté. II. L’ordonnance est confirmée. III. La requête d’assistance judiciaire de l’appelant B.R.________ est rejetée. IV. La requête d’assistance judiciaire de l’intimée C.R.________ est admise. V. L’indemnité de Me Marina Kilchenmann, conseil d’office de l’intimée C.R.________, est arrêtée à 198 fr. (cent nonante-huit francs), débours et TVA compris, provisoirement laissée à la charge de l’Etat. VI. Les frais judiciaires de deuxième instance, arrêtés à 800 fr. (huit cents francs), comprenant 200 fr. pour l’ordonnance d’effet suspensif du 1er novembre 2021, sont mis à la charge de l’appelant B.R.________. VII. La bénéficiaire de l’assistance judiciaire est tenue au remboursement de l’indemnité à son conseil d’office, mis provisoirement à la charge de l’Etat, dès qu’elle sera en mesure de le faire (art. 123 CPC). VIII. L’arrêt est exécutoire.</w:t>
      </w:r>
    </w:p>
    <w:p>
      <w:r>
        <w:t>- 17 - La juge déléguée : La greffière : Du Le présent arrêt, dont la rédaction a été approuvée à huis clos, est notifié en expédition complète à : - Me Georges Raymond (pour B.R.________), - Me Marina Kilchenmann (pour C.R.________), et communiqué, par l'envoi de photocopies, à : - Monsieur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