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JS21.021995 vom 2. Dezember 2021</w:t>
      </w:r>
    </w:p>
    <w:p>
      <w:r>
        <w:t>VD Tribunal cantonal, 2021-12-02, FR</w:t>
      </w:r>
    </w:p>
    <w:p>
      <w:r>
        <w:rPr>
          <w:b/>
        </w:rPr>
        <w:t xml:space="preserve">Quelle: </w:t>
      </w:r>
      <w:r>
        <w:t>https://mcp.opencaselaw.ch/entscheid/vd_gerichte_JS21.021995</w:t>
      </w:r>
    </w:p>
    <w:p>
      <w:r>
        <w:t>FR: VD_GERICHTE JS21.021995 du 2 décembre 2021</w:t>
      </w:r>
    </w:p>
    <w:p>
      <w:r>
        <w:t>IT: VD_GERICHTE JS21.021995 del 2 dicembre 2021</w:t>
      </w:r>
    </w:p>
    <w:p>
      <w:pPr>
        <w:pStyle w:val="Heading2"/>
      </w:pPr>
      <w:r>
        <w:t>Erwägungen</w:t>
      </w:r>
    </w:p>
    <w:p>
      <w:r>
        <w:rPr>
          <w:b/>
        </w:rPr>
        <w:t>E. 1</w:t>
      </w:r>
    </w:p>
    <w:p>
      <w:r>
        <w:t>Par ordonnance de mesures protectrices de l’union conjugale du 11 octobre 2021, envoyée pour notification le même jour, la Présidente du Tribunal civil de l’arrondissement de La Côte (ci-après : la présidente du tribunal) a dit que A.V.________ (ci-après : l’intimé ou l’appelant) contribuerait à l’entretien de son fils [...], né le [...] 2005, par le régulier versement, allocations familiales non comprises et dues en sus, d’avance le premier de chaque mois, en mains de B.V.________ (ci-après : la requérante ou l’intimée), d’une pension mensuelle de 710 fr., dès et y compris le 1er juin 2021 et jusqu’à sa majorité ou, cas échéant, jusqu’à la fin de sa formation appropriée aux conditions de l’art. 277 al. 2 CC (Code civil suisse du 10 décembre 1907 ; RS 210) (I), a dit que A.V.________ contribuerait à l’entretien de son épouse B.V.________ par le régulier versement, d’avance le premier de chaque mois, en mains de cette dernière, d’une pension mensuelle de 60 fr., dès et y compris le 1er juin 2021 (II), a arrêté l’indemnité d’office de Me Guillaume Bénard, conseil de la requérante, à 2’402 fr. 25, débours et TVA inclus (III), a dit que la bénéficiaire de l’assistance judiciaire était, dans la mesure de l’art. 123 CPC (Code de procédure civile du 19 décembre 2008 ; RS 272), tenue au remboursement de l’indemnité du conseil d’office mise à la charge de l’Etat (IV), a dit que l’ordonnance était rendue sans frais judiciaires ni dépens (V), et a rejeté toutes autres ou plus amples conclusions (VI).</w:t>
      </w:r>
    </w:p>
    <w:p>
      <w:r>
        <w:rPr>
          <w:b/>
        </w:rPr>
        <w:t>E. 2</w:t>
      </w:r>
    </w:p>
    <w:p>
      <w:r>
        <w:t>Par avis du 22 octobre 2021, le greffe du tribunal a constaté que le pli adressé à A.V.________ contenant l’ordonnance précitée n’avait pas été retiré par l’intéressé et a informé celui-ci que dans la mesure où il savait qu’il était concerné par une procédure civile, il devait prendre les mesures nécessaires afin de recevoir les communications qui lui étaient destinées. Partant, l’ordonnance était réputée notifiée le dernier jour du délai de garde du bureau de poste, soit le 19 octobre 2021.</w:t>
      </w:r>
    </w:p>
    <w:p>
      <w:r>
        <w:t>- 3 -</w:t>
      </w:r>
    </w:p>
    <w:p>
      <w:r>
        <w:rPr>
          <w:b/>
        </w:rPr>
        <w:t>E. 3</w:t>
      </w:r>
    </w:p>
    <w:p>
      <w:r>
        <w:t>Par acte du 29 octobre 2021, A.V.________ a interjeté appel contre l’ordonnance précitée, d’une part alléguant avoir été hospitalisé au Centre psychiatrique d’Yverdon pendant presque un mois et être actuellement en « burn-out » et d’autre part requérant la désignation d’un avocat d’office, afin que celui-ci assure sa défense. L’intimée n’a pas été invitée à se déterminer.</w:t>
      </w:r>
    </w:p>
    <w:p>
      <w:r>
        <w:rPr>
          <w:b/>
        </w:rPr>
        <w:t>E. 4</w:t>
      </w:r>
    </w:p>
    <w:p>
      <w:r>
        <w:t>A.V.________ fait appel et demande la désignation d’un avocat d’office.</w:t>
      </w:r>
    </w:p>
    <w:p>
      <w:r>
        <w:rPr>
          <w:b/>
        </w:rPr>
        <w:t>E. 4.1</w:t>
      </w:r>
    </w:p>
    <w:p>
      <w:r>
        <w:t>Selon l’art. 117 CPC, une personne a droit à l’assistance judiciaire aux conditions cumulatives qu’elle ne dispose pas de ressources suffisantes (let. a) et que sa cause ne paraisse pas dépourvue de toute chance de succès (let. b).</w:t>
      </w:r>
    </w:p>
    <w:p>
      <w:r>
        <w:rPr>
          <w:b/>
        </w:rPr>
        <w:t>E. 4.2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1131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w:t>
      </w:r>
    </w:p>
    <w:p>
      <w:r>
        <w:t>- 4 - 5A_209/2014 du 2 septembre 2014 consid. 4.2.1 ; TF 4A_101/2014 du 26 juin 2014 consid. 3.3). En outre, à l'instar de l'acte introductif d'instance, l'acte d'appel doit contenir des conclusions au fond. Il faut donc que l'appelant explicite dans quelle mesure la décision attaquée doit être modifiée ou annulée (ATF 137 III 617 consid. 4.2.2, JdT 2012 III 23 et les réf. cit.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l'appel doit en outre contenir des conclusions chiffrées (ATF 137 III 617 consid. 4 ; TF 5A_978/2018 du 15 avril 2019 consid. 1.2). Il ne saurait être remédié à un défaut de motivation ou à des conclusions déficientes par la fixation d'un délai de l'art. 132 CPC, de tels vices n'étant pas d'ordre purement formel et affectant l'appel de façon irréparable (ATF 137 III 617 consid. 6.4, JdT 2014 ll 187 ; TF 4A_659/2011 du 7 décembre 2011 consid. 5 in SJ 2012 I 31 ; CACI 25 février 2020/99 consid. 2.2 ; Jeandin, Commentaire romand, Code de procédure civile, Bâle 2019, 2e éd., n. 5 ad art. 311 CPC). Il peut toutefois être remédié à des</w:t>
      </w:r>
    </w:p>
    <w:p>
      <w:r>
        <w:t>- 5 - conclusions formellement déficientes, lorsqu'on comprend à la lecture de la motivation ce que demande l'appelant, respectivement à quel montant il prétend (Colombini, Code de procédure civile, Condensé de la jurisprudence fédérale et vaudoise, 2018, n. 9.3.1 ad art. 311 CPC et réf. cit.).</w:t>
      </w:r>
    </w:p>
    <w:p>
      <w:r>
        <w:rPr>
          <w:b/>
        </w:rPr>
        <w:t>E. 4.3</w:t>
      </w:r>
    </w:p>
    <w:p>
      <w:r>
        <w:t>En l’espèce, l’acte d’appel ne comporte ni motivation ni conclusions. Il ne pourra pas être remédié à ce vice, même avec l’aide d’un avocat, dès lors que le délai d’appel est échu. Il y a dès lors lieu de déclarer l’appel irrecevable, exceptionnellement sans frais, et de rejeter la demande d’assistance judiciaire.</w:t>
      </w:r>
    </w:p>
    <w:p>
      <w:r>
        <w:rPr>
          <w:b/>
        </w:rPr>
        <w:t>E. 5</w:t>
      </w:r>
    </w:p>
    <w:p>
      <w:r>
        <w:t>Compte tenu de ce qui précède, l’appel doit être déclaré irrecevable, selon le mode procédural de l’art. 312 al. 1 CPC, ce qui ressort de la compétence du Juge délégué de la cour de céans (art. 43 al. 1 let. b CDPJ [Code de droit privé judiciaire vaudois ; BLV 211.02]). Le présent arrêt peut être rendu sans frais judiciaires (art. 11 TFJC [tarif des frais judiciaires civils du 28 septembre 2010 ; BLV 270.11.5]). Il n’y a pas matière à l’allocation de dépens, l’intimée n’ayant pas été invitée à se déterminer. Par ces motifs, le Juge délégué de la Cour d’appel civile prononce : I. L’appel est irrecevable. II. La demande d’assistance judiciaire est rejetée.</w:t>
      </w:r>
    </w:p>
    <w:p>
      <w:r>
        <w:t>- 6 - III. L’arrêt, rendu sans frais judiciaires de deuxième instance, est exécutoire. Le juge délégué : La greffière : Du Le présent arrêt, dont la rédaction a été approuvée à huis clos, est notifié à : - M. A.V.________ personnellement, - Me Guillaume Benard pour B.V.________,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