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JS21.020688 vom 13. September 2021</w:t>
      </w:r>
    </w:p>
    <w:p>
      <w:r>
        <w:t>VD Tribunal cantonal, 2021-09-13, FR</w:t>
      </w:r>
    </w:p>
    <w:p>
      <w:r>
        <w:rPr>
          <w:b/>
        </w:rPr>
        <w:t xml:space="preserve">Quelle: </w:t>
      </w:r>
      <w:r>
        <w:t>https://mcp.opencaselaw.ch/entscheid/vd_gerichte_JS21.020688</w:t>
      </w:r>
    </w:p>
    <w:p>
      <w:r>
        <w:t>FR: VD_GERICHTE JS21.020688 du 13 septembre 2021</w:t>
      </w:r>
    </w:p>
    <w:p>
      <w:r>
        <w:t>IT: VD_GERICHTE JS21.020688 del 13 settembre 2021</w:t>
      </w:r>
    </w:p>
    <w:p>
      <w:pPr>
        <w:pStyle w:val="Heading2"/>
      </w:pPr>
      <w:r>
        <w:t>Erwägungen</w:t>
      </w:r>
    </w:p>
    <w:p>
      <w:r>
        <w:rPr>
          <w:b/>
        </w:rPr>
        <w:t>E. 11</w:t>
      </w:r>
    </w:p>
    <w:p>
      <w:r>
        <w:t>avril 2018 consid. 4.3.2 et les réf. citées). 2.3 La maxime inquisitoire illimitée de l’art. 296 CPC est applicable à toutes les procédures du droit de famille concernant le sort des enfants. Dans la mesure où l'établissement d'un fait est nécessaire pour déterminer la contribution d'entretien due aux enfants, la maxime inquisitoire illimitée de l'art. 296 al. 1 CPC lui est applicable même s'il sert ensuite aussi à fixer celle du conjoint (ATF 128 III 411 consid. 3.2.2 ; TF 5A_245/2019 du 1er juillet 2019 consid. 3.2.1). Le Tribunal fédéral a voulu ainsi éviter que le juge statue sur la contribution d'entretien de l'enfant et du conjoint sur la base d'un état de fait différent, sous prétexte que le procès n'est pas soumis aux mêmes maximes dans un cas et dans l'autre (TF 5A_361/2011 du 7 décembre 2011 consid. 5.3). S’agissant des questions relatives aux enfants, la maxime d'office s'applique, en sus de la maxime inquisitoire illimitée (art. 296 al. 2 CPC). La maxime d’office s’applique également devant l’instance cantonale d’appel. Elle signifie que le tribunal n’est pas lié par les</w:t>
      </w:r>
    </w:p>
    <w:p>
      <w:r>
        <w:t>- 16 - conclusions des parties et qu’il peut s’en écarter, d’autant plus que l’interdiction de la reformatio in pejus ne s’applique pas dans les affaires régies par la maxime d’office. Le juge ne peut toutefois pas aller au-delà de l’objet du litige tel que fixé devant lui par les parties (ATF 137 III 617 consid. 4.5.2 et 4.5.3, JdT 2014 II 187 ; Colombini, op. cit., n. 9.4.1 ad art. 311 CPC). Pour les questions relatives aux époux, en particulier sur la contribution d'entretien (Tappy, Commentaire romand, Code de procédure civile, Bâle 2019, 2e éd., nn. 5 ss ad art. 272 CPC), le principe de disposition s'applique à l'objet du litige. Le juge est ainsi lié par les conclusions des parties ; il ne peut accorder à l'une ni plus, ni autre chose que ce qu'elle demande, ni moins que ce que l'autre reconnaît lui devoir (TF 5A_361/2011 du 7 décembre 2011 consid. 5.3.1). Même en appliquant à l’époux la maxime inquisitoire illimitée compte tenu de la présence d’enfants mineurs, on ne saurait toutefois admettre une entorse au principe de disposition auquel la pension du conjoint est soumise (TF 5A_757/2013 du 14 juillet 2014 consid. 2.1 ; TF 5A_277/2019 du 25 septembre 2019 consid. 3.1). 2.4 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étant cumulatives (Colombini, op. cit., n. 1.2.1 ad art. 317 CPC et les réf. citées). Lorsque le procès est soumis à la maxime inquisitoire illimitée (art. 296 al. 1 CPC), il convient toutefois de considérer que l'application stricte de l'art. 317 al. 1 CPC n'est pas justifiée et que les parties peuvent présenter des faits et moyens de preuve nouveaux en appel même si les conditions de l'art. 317 al. 1 CPC ne sont pas réunies (ATF 144 III 349 consid. 4.2.1 et réf. cit.). Il n’est pas arbitraire de mettre aussi à profit pour l’entretien du conjoint les éléments dont le juge a eu connaissance sur la</w:t>
      </w:r>
    </w:p>
    <w:p>
      <w:r>
        <w:t>- 17 - base de nova en rapport avec l’entretien de l’enfant (TF 5A_800/2019 du 9 février 2021 consid. 2). 2.5 En l’espèce, la procédure concerne en particulier le sort des enfants, soit les modalités de leur prise en charge pratique et financière. La cause, dans son intégralité, est ainsi soumise à la maxime inquisitoire illimitée. Il s’ensuit que les pièces produites par les parties sont recevables et il en a été tenu compte dans la mesure utile. 3. 3.1 Dans un premier grief, l’appelant reproche au premier juge de n’avoir pas statué sur sa conclusion tendant à l’instauration d’une garde alternée sur les enfants B.H.________ et C.H.________ à raison de 50% en faveur de chacun des parents selon le schéma 2:2:3 précisé dans les conclusions de son procédé écrit du 12 mai 2021. 3.2 La garde de fait – qui se traduit par l’encadrement quotidien de l’enfant et par l’exercice des droits et des devoirs liés aux soins et à l’éducation courante (ATF 147 III 121 consid. 3.2.2) – est une composante de l'autorité parentale (TF 5A_46/2015 du 26 mai 2015 consid. 4.4.4). En vertu de l’art. 298 al. 2ter CC (Code civil suisse du 10 décembre 1907 ; RS 210), lorsque l’autorité parentale est exercée conjointement, le juge examine, selon le bien de l’enfant, la possibilité de la garde alternée, si le père, la mère ou l’enfant la demande. Les parents exercent alors en commun l'autorité parentale, mais se partagent la garde de l'enfant d'une façon alternée pour des périodes plus ou moins égales, pouvant être fixées en jours ou en semaines, voire en mois (TF 5A_200/2019 du 29 janvier 2020 consid. 3.1.2 ; TF 5A_844/2019 du 17 septembre 2020 consid. 3.2.2 ; TF 5A_821/2019 du 14 juillet 2020 consid. 4.1 ; TF 5A_991/2019 du 19 janvier 2021 consid. 5.1.1). L'autorité compétente doit examiner, nonobstant et indépendamment de l'accord des parents quant à une garde alternée, si celle-ci est possible et compatible avec le bien de l'enfant (ATF 142 III 612 consid. 4.2 ; ATF 142 III 617 consid. 3.2.3), qui constitue la règle fondamentale en matière d'attribution des droits</w:t>
      </w:r>
    </w:p>
    <w:p>
      <w:r>
        <w:t>- 18 - parentaux (ATF 141 III 328 consid. 5.4), les intérêts des parents devant être relégués au second plan (ATF 142 III 617 précité consid. 3.2.3 et les réf. cit. ; TF 5A_991/2019 du 19 janvier 2021 consid. 5.1.1 ; ATF 131 III 209 consid. 5). Le juge doit évaluer, sur la base de la situation de fait actuelle ainsi que de celle qui prévalait avant la séparation des parties, si l'instauration d'une garde alternée est effectivement à même de préserver le bien de l'enfant.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Si les parents disposent tous deux de capacités éducatives, le juge doit dans un deuxième temps évaluer les autres critères d'appréciation pertinents pour l'attribution de la garde.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(ATF 142 III</w:t>
      </w:r>
    </w:p>
    <w:p>
      <w:r>
        <w:t>- 19 - 617 précité consid. 3.2.3 ; TF 5A_200/2019 du 29 janvier 2020 consid. 3.1.2 ; TF 5A_794/2017 du 7 février 2018 consid 3.1). Les critères d'appréciation précités sont interdépendants et leur importance varie en fonction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précité consid. 3.2.3 ; TF 5A_200/2019 précité consid. 3.1.2 ; TF 5A_821/2019 du</w:t>
      </w:r>
    </w:p>
    <w:p>
      <w:r>
        <w:rPr>
          <w:b/>
        </w:rPr>
        <w:t>E. 14</w:t>
      </w:r>
    </w:p>
    <w:p>
      <w:r>
        <w:t>juillet 2020 consid. 4.3). 3.3 En l’espèce, le premier juge a considéré qu’en l’état, aucun élément au dossier ne justifiait de modifier le principe de la garde de fait des enfants B.H.________ et C.H.________, exercée par l’intimée selon accord des parties du 12 mai 2021, ce jusqu’à ce que l’UEMS ait rendu son rapport d’évaluation. L’appelant fait valoir que ce mode de garde a été convenu provisoirement par les parties et qu’il était prévu que la situation serait réexaminée lorsqu’il aurait trouvé une solution de logement lui permettant d’accueillir les enfants, Depuis le 1er juillet 2021, il est locataire d’un appartement de 3.5 pièces, sis à proximité de l’ancien logement familial. Des photographies produites par l’appelant, il ressort que ce logement comprend une chambre meublée pour les enfants et pourvue de nombreux livres, jeux et jouets. Il fait valoir qu’il bénéficie d’horaires flexibles de travail et qu’il est désormais en mesure d’exercer la garde alternée sur ses enfants. L’intimée s’y oppose, alléguant qu’il serait peu opportun de changer le mode de garde et de déstabiliser les enfants avant qu’une évaluation sérieuse ait été faite de la situation.</w:t>
      </w:r>
    </w:p>
    <w:p>
      <w:r>
        <w:t>- 20 - Entendues en audience d’appel, les parties se sont montrées incapables de communiquer sereinement, la discussion dégénérant quel que soit le sujet abordé. Pour autant, il ne semble pas que ces difficultés de communication constituent un obstacle insurmontable en ce qui concerne l’instauration d’une garde alternée, le conflit paraissant davantage imputable à ce qui se joue actuellement autour de la garde des enfants qu’à des points de vue inconciliables en ce qui concerne leur prise en charge ou leur éducation. Pour le surplus, les parties apparaissent toutes deux adéquates et impliquées dans la prise en charge de leurs enfants. Elles présentent à première vue de bonnes compétences parentales et bénéficient d’un emploi du temps souple, leur laissant la disponibilité nécessaire à l’exercice de la garde alternée, le cas échéant en sollicitant la baby-sitter qui intervient déjà régulièrement dans le cadre de la garde exclusive exercée par l’intimée. De surcroît, l’appelant dispose désormais d’un appartement dans lequel il peut loger ses enfants et les domiciles respectifs des parties s’avèrent géographiquement proches, de sorte que la situation paraît plutôt favorable à l’instauration d’une garde alternée. Cela étant, le premier juge a chargé l’UEMS d’un mandat ayant pour objectif l’évaluation des conditions d’existence des enfants auprès de chacun des parents ainsi que des capacités éducatives de ces derniers, la reddition du rapport étant annoncée pour le mois de mai prochain. Dans ces circonstances, il apparaît opportun de maintenir la garde exclusive auprès de l’intimée pendant quelques mois encore, ce d’autant plus que des doutes subsistent quant à l’impact sur les enfants des présumées violences domestiques auxquelles ils auraient été exposés. En l’état, il apparaît ainsi moins dommageable pour les enfants de retarder l’éventuelle mise en place de la garde alternée de quelques mois que de se tromper en ordonnant immédiatement l’instauration d’une telle garde. L’appel doit donc être rejeté sur ce point.</w:t>
      </w:r>
    </w:p>
    <w:p>
      <w:r>
        <w:t>- 21 - 4. 4.1 L’appelant conteste les contributions dues pour l’entretien des enfants et de son épouse. 4.2 4.2.1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Aux termes de l’art. 285 CC, la contribution d’entretien doit correspondre aux besoins de l’enfant ainsi qu’à la situation et aux ressources de ses père et mère.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p. 29, confirmé expressément en tenant compte de la teneur modifiée de l’art. 276 al. 2 CC in TF 5A_727/2018 du 22 août 2019, consid. 4.3.2.1),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5A_584/2018 du 10 octobre 2018 consid. 4.3 ; 5A_583/2018 du 18 janvier 2019 consid. 5.1 in fine ; 5A_339/2018 du 8 mai 2019 consid. 5.4.3 ; 5A_727/2018 du 22 août 2019 consid. 4.3.2.2). Composent l’entretien convenable de l’enfant les coûts directs générés par celui-ci et les coûts, indirects, liés à sa prise en charge (ATF 144 III 377 consid. 7). Si, en raison de ressources financières insuffisantes, l’ensemble</w:t>
      </w:r>
    </w:p>
    <w:p>
      <w:r>
        <w:t>- 22 - de l’entretien considéré comme convenable de l’enfant ne peut pas être couvert (situation de manco, cf. infra 2.1), il faut dorénavant indiquer le montant nécessaire pour assurer l'entretien convenable de chaque enfant (art. 287a let. c CC et 301a let. c CPC ; Message du 29 novembre 2013 concernant la révision du Code civil suisse [Entretien de l'enfant], FF 2014 p. 561).</w:t>
      </w:r>
    </w:p>
    <w:p>
      <w:r>
        <w:t>- 23 - 4.2.2 4.2.2.1 Dans un arrêt récent (ATF 147 III 265), le Tribunal fédéral a considéré que pour arrêter les coûts directs de l’enfant (Barunterhalt), il y a lieu de se fonder, comme pour la contribution de prise en charge sur la méthode des frais de subsistance (Lebenshaltungskosten) (ATF 147 III 265 précité, consid. 6.1). Cette méthode a vocation à s’appliquer à l’échelle de la Suisse en ce qui concerne l’entretien de l’enfant - sauf le cas de situations très particulières, comme le cas de situations financières très favorables, exigeant que l’entretien de l’enfant trouve ses limites pour des raisons éducatives et pour des raisons liées aux besoins concrets (cf. ATF 147 III 265 précité, consid. 6.6 in fine). 4.2.2.2 Les Lignes directrices pour le calcul du minimum vital du droit des poursuites (ci-après : minimum vital LP) selon l’art. 93 LP édictées par la Conférence des préposés aux poursuites et faillites de Suisse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(cf. TF 5A_271/2012 du 12 novembre 2012 consid. 3.2.2) pour autant que celui-ci ne soit pas disproportionné au regard des besoins et de la situation économique concrète (dans le cas contraire, le loyer doit être ramené à la limite admissible : cf. TF 5A_1029/2015 du 1er juin 2016 consid. 4.3.1 ; 5A_767/2016 du 30 janvier 2017 consid. 3.1.1 ; ATF 129 III 526 consid. 3) et à déduire des coûts de logement du parent gardien (TF 5A_464/2012 du 30 novembre 2012 consid. 4.6.3 ; CACI 29 juin 2017/269 consid. 3.3.3) / des deux parents en cas de garde alternée (TF 5A_583/2018 du 18 janvier 2019 consid. 5.1) – et les coûts de garde par des tiers. Ces deux postes, complétés par les suppléments admis par les Lignes directrices (sont déterminants pour un enfant : la prime d’assurance maladie de base, les frais d’écolage, les frais particuliers liés à la santé), doivent être ajoutés au montant de base. En présence de moyens limités, il faut s’en tenir là pour les coûts directs ainsi que pour l’éventuelle contribution de prise en charge.</w:t>
      </w:r>
    </w:p>
    <w:p>
      <w:r>
        <w:t>- 24 - Un éventuel manco au sens des art. 287a let. c CC et 301a let. c CPC ne pourra d’ailleurs se rapporter qu’à ces valeurs, à savoir qu’une situation de manco ne sera donnée que si le minimum vital LP ne peut être entièrement couvert en ce qui concerne les coûts directs et/ou la contribution de prise en charge (ATF 147 III 265, précité, consid. 7.2 et les réf. cit.). 4.2.2.3 L’entretien convenable n’étant pas une valeur fixe, mais une valeur dynamique dépendant des moyens à disposition (ATF 147 III 265, précité, consid. 5.4 et 7.2), dès que les moyens financiers le permettent, l’entretien convenable doit être élargi à ce que l’on nomme le minimum vital du droit de la famille. 4.2.2.3.1 Chez les parents, appartiennent typiquement au minimum vital élargi du droit de la famille les impôts, ainsi que des forfaits pour la télécommunication et les assurances, les frais de formation continue indispensables, des frais de logement correspondant à la situation réelle plutôt qu’au minimum vital du droit des poursuites, les frais d’exercice du droit de visite et encore un montant adapté pour l’amortissement des dettes ; dans des circonstances favorables, il est encore possible de prendre en compte les primes d’assurance maladie complémentaire et, le cas échéant, des dépenses de prévoyance à des institutions privées de la part de travailleurs indépendants. 4.2.2.3.2 Pour les coûts directs des enfants, appartiennent au minimum vital du droit de la famille, selon la jurisprudence fédérale précitée, une part des impôts, une part aux coûts de logement correspondant à la situation réelle plutôt qu’au minimum vital LP et le cas échéant des primes d’assurance maladie complémentaire (ATF 147 III 265, précité, loc. cit.). 4.2.2.4 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A cet égard, la répartition par « grandes et</w:t>
      </w:r>
    </w:p>
    <w:p>
      <w:r>
        <w:t>- 25 - petites têtes » (à savoir deux parts pour un adulte, une part pour un enfant) s’impose comme nouvelle règle. Toutefois, toutes les particularités du cas justifiant le cas échéant d’y déroger (comme la répartition de la prise en charge, un taux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La décision fixant l’entretien doit exposer pour quels motifs la règle de la répartition par grandes et petites têtes a été appliquée ou non (sur le tout, ATF 147 III 265 consid. 7.2 à 7.4 et les références citées). Si, au contraire, les moyens sont insuffisants, il faut régler les relations entre les différentes catégories d’entretien en jeu. L’ordre de priorité résulte de la loi et de la jurisprudence : il faut toujours laisser au débiteur d’entretien au moins son minimum vital LP (ATF 140 III 337 consid. 4.3 ; ATF 135 III 66 consid. 2-10). Avec les moyens restants, il faut couvrir, toujours à l’aune du minimum vital LP, les coûts directs des enfants mineurs, puis la contribution de prise en charge, puis l’éventuel entretien de l’(ex) conjoint (art. 267a al. 1 CC). Ce n’est qu’une fois que le minimum vital LP de tous ces ayants-droit a été couvert qu’on peut alors envisager d’affecter des ressources restantes à la satisfaction de leurs besoins élargis. 4.3 4.3.1 Même lorsque l'on ne peut plus sérieusement compter sur la reprise de la vie commune, l'art. 163 CC demeure la cause de l'obligation d'entretien en mesures protectrices de l'union conjugale (ATF 137 III 385 consid. 3.1; 130 III 537 consid. 3.2). Pour fixer la contribution d'entretien selon l'art. 176 al. 1 ch. 1 CC, le juge doit partir de la convention, expresse ou tacite, que les époux avaient conclue au sujet de la répartition des tâches et des ressources entre eux durant la vie commune (art. 163 al. 2 CC), puis il doit prendre en considération que le but de l'art. 163 al. 1 CC impose à chacun des époux le devoir de participer, selon</w:t>
      </w:r>
    </w:p>
    <w:p>
      <w:r>
        <w:t>- 26 - ses facultés, aux frais supplémentaires qu'engendre la vie séparée. Le juge peut donc devoir modifier la convention conclue pour la vie commune pour l'adapter à ces faits nouveaux (ATF 138 III 97 consid. 2.2; 137 III 385 consid. 3.1, précisant l'arrêt paru aux ATF 128 III 65 ; TF 5A_608/2019 du</w:t>
      </w:r>
    </w:p>
    <w:p>
      <w:r>
        <w:rPr>
          <w:b/>
        </w:rPr>
        <w:t>E. 16</w:t>
      </w:r>
    </w:p>
    <w:p>
      <w:r>
        <w:t>janvier 2020 consid. 3.1). 4.3.2 Pour fixer les contributions d'entretien, le juge doit ainsi en principe tenir compte du revenu effectif des parties (ATF 143 III 233 consid. 3.2 ; 137 III 102 consid. 4.2.2.2 ; pour le tout TF 5A_600/2019 du 9 décembre 2020 consid. 5.1.1). Le débiteur d'entretien comme le créancier peuvent néanmoins se voir imputer un revenu hypothétique supérieur. Il s'agit ainsi d'inciter la personne à réaliser le revenu qu'elle est en mesure de se procurer et qu'on peut raisonnablement exiger d'elle afin de remplir ses obligations (ATF 143 III 233 consid. 3.2 ; 137 III 102 consid. 4.2.2.2 ; TF 5A_71/2019 du 20 avril 2020 consid. 3.2.3). Lorsqu'il entend tenir compte d'un revenu hypothétique, le juge doit d'abord déterminer s'il peut raisonnablement être exigé de la personne concernée qu'elle exerce une activité lucrative ou augmente celle-ci, eu égard, notamment, à sa formation, à son âge et à son état de santé. Ensuite, il doit vérifier si la personne a la possibilité effective d'exercer l'activité ainsi déterminée et quel revenu elle peut en obtenir, compte tenu des circonstances subjectives susmentionnées, ainsi que du marché du travail (ATF 143 III 233 consid. 3.2; 137 III 102 consid. 4.2.2.2 ; pour le tout TF 5A_600/2019 du 9 décembre 2020 consid. 5.1.1). Lorsqu’il tranche la première question, le juge ne peut pas se contenter de dire, de manière toute générale, que la personne en cause pourrait obtenir un revenu supérieur en travaillant ; il doit préciser le type d'activité professionnelle que cette personne peut raisonnablement devoir accomplir. Pour arrêter le montant du salaire, le juge peut éventuellement se baser sur l'enquête suisse sur la structure des salaires, réalisée par l'Office fédéral de la statistique, ou sur d'autres sources, comme des conventions collectives de travail (ATF 137 III 118 consid. 3.2, JdT 2011 II</w:t>
      </w:r>
    </w:p>
    <w:p>
      <w:r>
        <w:t>- 27 - 486 ; TF 5A_99/2011 du 26 septembre 2011 consid. 7.4.1 non publié aux ATF 137 III 604; TF 5A_860/2011 du 11 juin 2012 consid. 4.1 ; TF 5A_933/2015 du 23 février 2016 consid. 6.1 ; TF 5A_782/2016 du 31 mai 2017 consid. 5.3 ; Mülhauser, Das Lohnbuch 2014, Mindestlöhne sowie orts- und berufsübliche Löhne in der Schweiz, Zurich 2014), pour autant qu'ils soient pertinents par rapport aux circonstances d'espèce (TF 5A_112/2013 du 25 mars 2013 consid. 4.1.3). Sur ce point, on soulignera encore que le Tribunal fédéral estime désormais que l’on est droit d'attendre du parent se consacrant à la prise en charge de l'enfant qu'il recommence à travailler, en principe, à 50 % dès l'entrée du plus jeune enfant à l'école obligatoire, à 80 % à partir du moment où celui-ci débute le degré secondaire, et à 100 % dès la fin de sa seizième année (ATF 144 III 481 consid. 4.7.6). Ces lignes directrices ne sont toutefois pas des règles strictes et leur application dépend du cas concret ; le juge du fait en tient compte dans l'exercice de son large pouvoir d'appréciation (art. 4 CC ; ATF 144 III 481 consid. 4.7.9; TF 5A_608/2019 précité consid. 4.1.1 ; 5A_931/2017 du 1er novembre 2018 consid. 3.1.2). 4.4 4.4.1 L’appelant reproche au premier juge d’avoir retenu que l’intimée réaliserait un revenu mensuel net de 1'615 fr. pour une activité d’esthéticienne indépendante à un taux d’occupation de 80%. Il conteste la réalité de tels revenus, prétendant qu’elle simulerait ses revenus effectifs, et soutient également qu’il ne lui appartiendrait pas de palier le fait que l’intimée n’exercerait pas sa capacité de revenus en plein. Il ressort de l’audition de l’intimée que celle-ci exploite son entreprise individuelle depuis 5 ans, qu’elle a pratiqué son activité d’esthéticienne pendant 2 ans en Italie, qu’elle s’est ensuite occupée pendant deux ans et demi de l’aîné des enfants, puis qu’elle a souhaité recommencer à travailler, ce qu’elle a fait en effectuant d’abord des ménages au CHUV, puis en se mettant à son compte en tant qu’esthéticienne. L’appelant paraît dès lors</w:t>
      </w:r>
    </w:p>
    <w:p>
      <w:r>
        <w:t>- 28 - malvenu de lui reprocher l’exercice d’une activité à ses yeux insuffisamment rémunératrice, alors même qu’elle l’a exercée durant plusieurs années durant la vie commune et qu’elle la pratiquait déjà avant de venir en Suisse. Les revenus de l’intimée ont été estimés par le premier juge sur la base du bénéfice qu’elle a réalisé en 2020, tel qu’il ressort des comptes produits en première instance. L’appelant soutient néanmoins que l’intimée dissimulerait une partie de ses revenus, il en veut pour preuve les nombreux rendez-vous figurant dans l’extrait de l’agenda de l’intimée. Cette pièce ne suffit cependant pas à démontrer l’existence de revenus non comptabilisés et encore moins la quotité de tels revenus. En effet, l’extrait produit n’est pas complet, certaines semaines n’y figurant pas. Or, l’intimée a expliqué que son activité variait en fonction des périodes de l’année, l’été et les fêtes de Pâques et Noël l’occupant particulièrement. Cet extrait ne comporte au demeurant aucune indication qui permettrait de déterminer les montants encaissés auprès des personnes inscrites dans l’agenda, à supposer qu’il s’agisse toutes des clientes de l’intimée, ce qui est contestée par cette dernière. Quant à l’opération de chirurgie esthétique subie par l’intimée, on ne voit pas non plus qu’on puisse en déduire que ses revenus seraient plus importants que les montants retenus dans l’ordonnance attaquée, l’intimée alléguant au surplus qu’elle aurait été financée par ses parents. En définitive, on ne discerne aucun élément permettant de s’écarter des revenus retenus par le premier juge sur la base de la comptabilité produite. On relèvera qu’ils s’avèrent même supérieurs aux revenus de 1'311 fr. 15 retenu par la Ville de [...] dans les conditions financières jointes à son courrier du 28 mai 2021 confirmant l’inscription de l’enfant B.H.________ aux APEMS. Le moyen doit dès lors être rejeté. 4.4.2 L’appelant soutient qu’il ne lui incomberait pas d’assumer le prétendu déficit de l’intimée qui devrait être en mesure, en exerçant une activité à 80%, de couvrir ses charges essentielles de 2'685 francs.</w:t>
      </w:r>
    </w:p>
    <w:p>
      <w:r>
        <w:t>- 29 - En tant que ce moyen se fonde sur l’existence de revenus cachés, la critique de l’appelant tombe à faux (cf. consid. 4.4.1 ci-dessus). Pour le surplus, dès lors que le plus jeune des enfants est âgé de 3 ans, on ne voit pas que l’on puisse exiger de l’intimée qu’elle travaille davantage, au motif que la prise en charge des enfants serait possible à plein temps en structure d’accueil. On relève à cet égard qu’elle exerce son activité à un taux de 80%, ce taux n’étant en principe exigé du parent gardien qu’à partir du moment où le plus jeune enfant commence le degré secondaire. A ce stade, on ne saurait non plus attendre de l’intimée qu’elle renonce à son activité d’esthéticienne pour une nouvelle activité mieux rémunérée, dès lors qu’elle résulte d’un choix opéré du temps de la vie commune, dont l’appelant paraît s’être accommodé jusqu’à la séparation. Le grief est infondé. 4.4.3 L’appelant conteste les coûts mensuels de prise en charge de l’enfant C.H.________, retenus par le premier juge à raison de 450 fr. 75 pour les frais de garderie et de 1'120 fr. pour les frais de baby-sitter. Il fait valoir que la possibilité est offerte aux parties depuis mai/juin au moins d’avoir une prise en charge complète des enfants auprès des structures d’accueil lausannoises. Il y aurait donc lieu de supprimer le poste précité de baby-sitter, ce qui ramènerait les coûts directs de C.H.________ à 845 fr. 75 et d’admettre, par projection, sur la base du coût mensuel de garderie de 450 fr. retenu par le premier juge pour une prise en charge de C.H.________ trois jours par semaine, une augmentation des frais de garde de 300 fr. par mois pour une fréquentation de la garderie à temps plein. En l’occurrence, la prise en charge de l’enfant C.H.________ s’est jusqu’ici effectuée selon un dispositif variant en fonction des disponibilités de l’intimée, celle-ci expliquant que si elle ne travaillait pas, elle gardait C.H.________ auprès d’elle et qu’elle devait pouvoir disposer, compte tenu de ses horaires irréguliers, d’une personne qui aide à la récupération des enfants et puisse aller les chercher à l’école. Ces explications apparaissent convaincantes ; il n’y a dès lors pas lieu de</w:t>
      </w:r>
    </w:p>
    <w:p>
      <w:r>
        <w:t>- 30 - renoncer purement et simplement à la baby-sitter, qui complète utilement le dispositif de prise en charge des enfants dans les structures d’accueil lausannoises et lui permet d’exercer son activité à des moments incompatibles avec les horaires desdites structures. Cela étant, il ressort des justificatifs produits par les parties que depuis leur séparation, C.H.________ a fréquenté la garderie de manière irrégulière, les factures produites faisant état de frais de garde de 308 fr. 30 pour juillet 2021, de 169 fr. 05 pour août 2021, de 135 fr. 25 pour septembre 2021 et de 225 fr. 40 pour octobre 2021, soit une moyenne arrondie à 210 fr. par mois. Par ailleurs, selon les fiches de salaire de la baby-sitter, celle-ci a réalisé un revenu mensuel net de 700 fr. aux mois de juillet et août 2021 et de 500 fr. au mois d’octobre 2021, ce qui correspond, au vu des déductions sociales ressortant des fiches de salaire, à une charge effective de 868 fr., respectivement 646 francs. En effectuant une moyenne sur 3 mois, on obtient un montant de 794 fr. par mois à titre de charge salariale de la baby-sitter. Au degré de la vraisemblance, l’ensemble de ces documents permet de retenir que les coûts mensuels de prise en charge de l’enfant C.H.________ se montent en moyenne à 210 fr. pour les frais de garderie et à 800 fr. en chiffres arrondis pour les frais de baby-sitter. En définitive, les coûts directs de C.H.________, arrêtés selon le minimum vital du droit des poursuites, se présentent comme suit : - Base mensuelle d’entretien CHF 400.00 - Part au loyer (15% de CHF 1'800.00) CHF 270.00 - Frais médicaux CHF 25.00 - Frais de garderie CHF 210.00 - Frais de baby-sitter CHF 800.00 Total intermédiaire CHF 1'705.00 - ./. Allocations familiales CHF 300.00</w:t>
      </w:r>
    </w:p>
    <w:p>
      <w:r>
        <w:t>- 31 - Total final CHF 1'405.00 4.4.4 Les coûts directs retenus par le premier juge pour l’enfant B.H.________ ne sont pas contestés par les parties. Ils apparaissent au demeurant justifiés, de sorte qu’ils peuvent être confirmés comme suit : - Base mensuelle d’entretien CHF 400.00 - Part au loyer (15% de CHF 1'800.00) CHF 270.00 - Frais médicaux CHF 10.00 - Frais de garde (APEMS) CHF 272.20 Total intermédiaire CHF 952.20 - ./. Allocations familiales CHF 300.00 Total final CHF 652.20 4.4.5 Il en va de même en ce qui concerne les charges incompressibles de l’appelant, qui se présentent dès lors comme suit : - Base mensuelle d’entretien CHF 1’200.00 - Loyer CHF 1’970.00 - Frais de transports CHF 72.00 Total CHF 3'242.00 Compte tenu de son revenu mensuel de 6'318 fr., l’appelant présente un disponible de 3'076 fr. qui doit être affecté prioritairement à la couverture des coûts directs de ses fils B.H.________, par 652 fr., et C.H.________, par 1'405 francs. 4.4.6 Les charges retenues dans l’ordonnance attaquée en ce qui concerne l’entretien de l’intimée ne sont pas contestées. Elles apparaissent pour le surplus justifiées, si bien qu’elles doivent être confirmées. Ces charges mensuelles incompressibles se présentent dès lors comme suit :</w:t>
      </w:r>
    </w:p>
    <w:p>
      <w:r>
        <w:t>- 32 - - Base mensuelle d’entretien CHF 1’350.00 - Loyer (1'800 – 30%) CHF 1’260.00 - Frais médicaux CHF 75.00 Total CHF 2'685.00 Comme on l’a vu plus haut (cf. consid. 4.4.1 ci-dessus), l’argument de l’appelant selon lequel l’intimée serait en mesure de réaliser un revenu lui permettant à tout le moins de couvrir ses charges, ne résiste pas à l’examen. On s’en tiendra donc au revenu mensuel de 1'615 fr. 95 retenu dans l’ordonnance attaquée, si bien que son budget d’entretien laisse apparaître un déficit de 1'069 fr. 05. 4.4.7 Après couverture des charges essentielles de l’appelant et des enfants, celui bénéficie d’un solde disponible de 1'019 fr. (6'318 – 3'242 – 652 – 1'405). Il serait dès lors à même de couvrir partiellement le déficit de l’intimée à concurrence du montant précité de 1'019 francs. L’intimée n’ayant pas pris de conclusions reconventionnelles en ce qui concerne son propre entretien, il n’y a pas lieu de réformer sur ce point l’ordonnance attaquée. La contribution mensuelle d’entretien de 458 fr. prévue en sa faveur sera par conséquent confirmée. 4.4.8 Reste à examiner la question de la répartition du disponible de 561 fr. subsistant après couverture des besoins vitaux d’entretien de l’appelant et de ses enfants et versement de la contribution précitée en faveur de l’intimée. Ce montant doit en principe affecté prioritairement à la couverture des impôts des parties. En l’occurrence, selon le simulateur fiscal de l’Administration fédérale des contributions, la charge fiscale de l’appelant peut être estimée à 7’748 fr. par année, compte tenu de son revenu annuel net de 75'816 fr., des allocations familiales par 7'200 fr. et d’une déduction des pensions évaluées à ce stade à 2'700 fr. par mois au total, soit 32'400 fr. par année, ce qui correspond à une charge fiscale d’environ 645 fr. par mois.</w:t>
      </w:r>
    </w:p>
    <w:p>
      <w:r>
        <w:t>- 33 - L’excédent mensuel de 561 fr. ne permet pas même de couvrir la charge fiscale de l’appelant. Il sera par conséquent réparti entre l’appelant et les enfants par « grande et petite tête », soit un quart (140 fr.) en faveur de chaque enfant et une demie (281 fr.) en faveur de l’appelant. 4.4.6 En définitive, la contribution mensuelle pour l’entretien de l’enfant B.H.________ sera ainsi arrêtée à 790 fr. en chiffre arrondis (652 fr. + 140 fr.), le chiffre III du dispositif devant ainsi être réformé en conséquence. Celui-ci comportant une erreur manifeste d’écriture en ce qui concerne le point de départ de cette contribution, il sera rectifié d’office, en ce sens que la contribution sera due dès le 1er mai 2021 et non dès le 1er mai 2020. Quant à la contribution d’entretien en faveur de l’enfant C.H.________, elle sera arrêtée à 1'545 fr. (1'405 fr. + 140 fr.) par mois. Le chiffre IV du dispositif sera réformé en conséquence, le point de départ de cette contribution étant également rectifié et fixé au 1er mai 2021. 4.4.7 La règle de procédure posée par l’art. 301a let. c CPC a pour fonction de mettre en œuvre l’art. 286a CC. Ainsi que le précisent expressément les textes allemand et italien de l’art. 301a CPC, c’est exclusivement dans les cas de déficit que la convention ou la décision fixant le montant des contributions d’entretien doit constater le montant de l’entretien convenable (cf. aussi Message concernant la révision du Code civil suisse [Entretien de l’enfant] du 29 novembre 2013, FF 2014 551, p. 561 ; CACI 27 août 2018/483 consid. 8.2). En l’espèce, l’entretien convenable des enfants est entièrement couvert par les contributions prévues, de sorte que les chiffres I et II du dispositif de l’ordonnance attaquée qui constatent le montant de l’entretien convenable d’B.H.________, respectivement de C.H.________, n’ont pas lieu d’être et seront supprimés.</w:t>
      </w:r>
    </w:p>
    <w:p>
      <w:r>
        <w:t>- 34 - 5. 5.1 En définitive, l’appel doit être partiellement admis et l’ordonnance réformée dans le sens des considérants qui précèdent. 5.2 L’appelant obtient finalement très partiellement gain de cause sur la question des contributions en faveur de l’enfant C.H.________. Il voit en revanche son appel rejeté en ce qui concerne l’instauration d’une garde alternée et la suppression de la pension en faveur de son épouse. Vu l’issue de l’appel, les frais judiciaires de deuxième instance, arrêtés à 600 fr. (art. 65 al. 2 TFJC [tarif des frais judiciaires civils du 28 septembre 2010 ; RS 270.11.5]), seront mis à la charge de l’appelant à raison de quatre cinquièmes (480 fr.) et à la charge de l’intimée à raison d’un cinquième (120 fr.). Les frais mis à la charge de l’intimée seront provisoirement supportés par l’Etat compte tenu de l’assistance judiciaire (art. 122 al. 1 let. b CPC), l’appelant s’étant déjà acquitté de sa part par le versement d’une avance de frais de 600 fr. dont un quart lui sera restituée par le tribunal (art. 122 al. 1 let. c CPC). 5.3 Le conseil juridique commis d’office a droit au remboursement de ses débours et à un défraiement équitable (art. 122 al. 1 let. c CPC), qui est fixé en considération de l’importance de la cause, de ses difficultés, de l’ampleur du travail et du temps consacré par le conseil juridique (art. 2 al. 1 RAJ [règlement sur l’assistance judiciaire en matière civile du 7 décembre 2010 ; BLV 211.02.3]). Dans sa liste des opérations du 7 décembre 2021, Me Yves Hofstetter, conseil de l’intimée, a indiqué avoir consacré 6 heures et 15 minutes à la procédure d’appel. Ce décompte peut être admis, de sorte qu’au tarif horaire de 180 fr. (art. 2 al. 1 let. b RAJ [règlement sur l’assistance judiciaire du 7 décembre 2010 ; BLV 211.02.03]), l’indemnité d’office de Me Hofstetter doit être arrêtée à 1'125 fr., auxquels s’ajoutent les débours par 22 fr. 50 (art. 3bis RAJ) et la TVA sur le tout par 88 fr. 35, soit une indemnité totale de 1'235 fr. 85, arrondie à 1’236 francs.</w:t>
      </w:r>
    </w:p>
    <w:p>
      <w:r>
        <w:t>- 35 - 5.4 La bénéficiaire de l’assistance judiciaire est tenue au remboursement des frais judiciaires et de l’indemnité à son conseil d’office mis provisoirement à la charge de l’Etat, dès qu’elle sera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121.02]). 5.5 La partie qui succombe est tenue de rembourser à la partie qui a obtenu gain de cause tous les frais nécessaires causés par le litige (art. 3 al. 1 TDC [tarif des dépens en matière civile du 25 novembre 2010 ; RSV 270.11.6]). Dans les contestations portant sur des affaires non patrimoniales, le défraiement est fixé selon l'importance et la difficulté de la cause ainsi que selon le travail effectué, dans les limites des montants figurant à l’article 9 du tarif, prévoyant en deuxième instance un défraiement de 100 à 25'000 francs. En l’espèce, la charge des dépens est estimée à 1’800 fr. (6 h. x 300 fr. ?) pour l’intimée, de sorte que, compte tenu de ce que les frais doivent être mis à la charge de l’appelant à raison de quatre cinquièmes et à la charge de l’intimée à raison d’un cinquième, l’appelant versera en définitive à l’intimée la somme de 1'440 fr. à titre de dépens de deuxième instance. Par ces motifs, le Juge délégué de la Cour d’appel civile prononce : I. L’appel est partiellement admis. II. L’ordonnance est réformée aux chiffres I, II III et IV de son dispositif comme il suit : I. [Supprimé] ;</w:t>
      </w:r>
    </w:p>
    <w:p>
      <w:r>
        <w:t>- 36 - II. [Supprimé] ; III. dit que, dès le 1er mai 2021, A.H.________ contribuera à l’entretien de son fils B.H.________ par le régulier versement d’une pension mensuelle de 790 fr. (sept cent nonante francs), allocations familiales en sus, payable d’avance le premier de chaque mois, en mains d’L.________ ; IV. dit que, dès le 1er mai 2021, A.H.________ contribuera à l’entretien de son fils C.H.________ par le régulier versement d’une pension mensuelle de 1’545 fr. (mille cinq cent quarante-cinq francs), allocations familiales en sus, payable d’avance le premier de chaque mois, en mains d’L.________. L’ordonnance est confirmée pour le surplus. III. Les frais judiciaires de deuxième instance, arrêtés à 600 fr. (six cents francs), sont mis à la charge de l’appelant A.H.________ par 480 fr. (quatre cent huitante francs) et à la charge de l’intimée L.________ par 120 fr. (cent vingt francs), ces derniers étant provisoirement supportés par l’Etat. IV. L’indemnité de Me Yves Hofstetter, conseil d’office de l’intimée L.________, est arrêtée à 1'236 fr. (mille deux cent trente-six francs), TVA et débours compris. V. L’intimée L.________ est tenue au remboursement des frais judiciaires et de l’indemnité à son conseil d’office mis provisoirement à la charge de l’Etat, dès qu’elle sera en mesure de le faire (art. 123 CPC). VI. L’appelant A.H.________ versera à l’intimée L.________ la somme de 1'440 fr. (mille quatre cent quarante francs) à titre de dépens de deuxième instance.</w:t>
      </w:r>
    </w:p>
    <w:p>
      <w:r>
        <w:t>- 37 - VII. L’arrêt est exécutoire. Le juge délégué : La greffière : Du Le présent arrêt, dont la rédaction a été approuvée à huis clos, est notifié en expédition complète à : - Me Pierre-André Oberson (pour A.H.________), - Me Yves Hofstetter (pour L.________), et communiqué, par l'envoi de photocopies, à : - M. le Président du Tribunal civil de l’arrondissement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- 38 -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