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JS21.003742 vom 7. September 2021</w:t>
      </w:r>
    </w:p>
    <w:p>
      <w:r>
        <w:t>VD Tribunal cantonal, 2021-09-07, FR</w:t>
      </w:r>
    </w:p>
    <w:p>
      <w:r>
        <w:rPr>
          <w:b/>
        </w:rPr>
        <w:t xml:space="preserve">Quelle: </w:t>
      </w:r>
      <w:r>
        <w:t>https://mcp.opencaselaw.ch/entscheid/vd_gerichte_JS21.003742</w:t>
      </w:r>
    </w:p>
    <w:p>
      <w:r>
        <w:t>FR: VD_GERICHTE JS21.003742 du 7 septembre 2021</w:t>
      </w:r>
    </w:p>
    <w:p>
      <w:r>
        <w:t>IT: VD_GERICHTE JS21.003742 del 7 settembre 2021</w:t>
      </w:r>
    </w:p>
    <w:p>
      <w:pPr>
        <w:pStyle w:val="Heading2"/>
      </w:pPr>
      <w:r>
        <w:t>Erwägungen</w:t>
      </w:r>
    </w:p>
    <w:p>
      <w:r>
        <w:rPr>
          <w:b/>
        </w:rPr>
        <w:t>E. 10</w:t>
      </w:r>
    </w:p>
    <w:p>
      <w:r>
        <w:t>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 2.4.2 A titre de mesure d’instruction, l’appelant sollicite la fixation d’une audience d’appel. Cette requête peut être rejetée par appréciation anticipée des preuves au vu des considérants qui suivent, le dossier étant complet sur les faits de la cause et la procédure d’appel pouvant en l’espèce être conduite sans administration de preuves supplémentaires. 3. 3.1 L’appelant reproche à l’autorité précédente d’avoir retenu qu’il ne souffrait d’aucune atteinte à la santé alors qu’il est au bénéfice d’une rente de l’assurance-invalidité à 100 %. Il invoque souffrir d’importants problèmes de dos qui l’empêcheraient de se déplacer facilement alors que</w:t>
      </w:r>
    </w:p>
    <w:p>
      <w:r>
        <w:t>- 10 - l’intimée n’aurait pas de problème de santé, mis à part son alcoolisme. Le premier juge aurait donc attribué le logement conjugal à l’intimée en se fondant sur cette fausse prémisse, l’intimée étant à même de se reloger rapidement, contrairement à l’appelant. L’appelant ajoute qu’il conviendrait également de tenir compte des menaces de mort proférées par l’intimée. Il les aurait prises au sérieux et a déposé une plainte pénale qui serait en cours d’instruction. Ces menaces justifieraient également que le logement conjugal lui soit attribué, notamment en raison des directives cantonales en matière de violences conjugales prévoyant l’expulsion du domicile conjugal de l’auteur des menaces. 3.2 Si les époux ne parviennent pas à s'entendre au sujet de la jouissance de l'habitation conjugale, l'art. 176 al. 1 ch. 2 CC prévoit que le juge attribue provisoirement le logement conjugal à l'une des parties en faisant usage de son pouvoir d'appréciation.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w:t>
      </w:r>
    </w:p>
    <w:p>
      <w:r>
        <w:t>- 11 -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 citées). 3.3 En l’occurrence, l’intimée est plus âgée que l’appelant de près de trente ans, ce qui peut rendre un déménagement plus difficile pour elle, premier élément dont il y a lieu de tenir compte dans l’attribution du logement conjugal. Ensuite, elle a produit un rapport médical de janvier 2021 concernant son état de santé qui fait état des atteintes dont elle souffre. Les autres pièces au dossier, notamment les factures pour une aide au ménage et des séances d’ergothérapie, étayent les allégations de l’intimée concernant ses problèmes de santé. Quant à la situation de l’appelant, les seules pièces produites font état d’une rente d’invalidité à 100 % depuis le 1er janvier 2018, sans que l’on connaisse la nature de son atteinte à la santé. Il ne rend dès lors pas vraisemblable qu’un déménagement serait nuisible pour sa santé. Il est du reste parti le 20 juin 2021. A cela s’ajoute que l’intimée vit dans cet appartement depuis de très nombreuses années. Quant aux menaces, elles auraient été proférées en septembre 2020 et l’appelant n’a ouvert action en première instance qu’en janvier 2021, demeurant dans le logement avec son épouse. Une fois la procédure ouverte, il est resté dans l’appartement sans que l’autorité précédente n’ordonne à l’une ou l’autre des parties de quitter le logement de manière immédiate. Dans ces circonstances, il n’apparaît pas que le premier juge ait méconnu le droit en attribuant l’appartement à l’intimée. On relève encore avec celle-ci qu’aucune pièce ne figure au dossier civil concernant le dépôt d’une procédure pénale. Le grief sera dès lors rejeté. 3.4 Dans ces circonstances, il convient de confirmer l’appréciation du premier juge en attribution du logement conjugal à l’intimée.</w:t>
      </w:r>
    </w:p>
    <w:p>
      <w:r>
        <w:t>- 12 - 4. 4.1 S’agissant de la contribution d’entretien, l’appelant invoque une violation de la maxime inquisitoire d’office dans la mesure où le premier juge n’aurait pas interrogé l’intimée sur l’aide financière qu’elle apportait à son époux. Selon celui-ci, l’intimée aurait dû démontrer le fait qu’elle ne l’aidait pas. 4.2 Selon l'art. 8 CC, il appartient à celui qui fait valoir une prétention de prouver les faits qu'il allègue pour en déduire son droit, tandis que sa partie adverse doit prouver les faits qui entraînent l'extinction ou la perte du droit. 4.3 Dans le cas présent, contrairement à ce que soutient l’appelant, la maxime inquisitoire sociale s’applique et non celle d’office (consid. 2.2 supra). L’appelant, qui fait valoir une prétention en contribution d’entretien contre l’intimée, doit par conséquent allégué les faits et apporter les éléments permettant, au stade de la vraisemblance, de retenir ces faits. Il supporte dès lors le fardeau de l’allégation et de la preuve des éléments propres à démontrer que les conditions de la prétention qu’il fait valoir sont réunies. Dans son écriture du 10 mars 2021, l’appelant n’a pas allégué recevoir une aide financière de son épouse. Cela ne ressort pas non plus de son courrier initial du 18 janvier 2021 ni d’une éventuelle écriture complémentaire. Au contraire, la lettre du 18 janvier 2021 mentionne que l’intimée « refuse de [l]’aider financièrement ». Partant, l’ordonnance litigieuse n’a pas violé la maxime inquisitoire sociale applicable en l’espèce. 5. 5.1 L’appelant critique ensuite sur plusieurs points le montant des charges de l’intimée telles que retenues par le premier juge. 5.2</w:t>
      </w:r>
    </w:p>
    <w:p>
      <w:r>
        <w:t>- 13 - 5.2.1 L’appelant avance en premier lieu que la charge fiscale annuelle de l’intimée ne serait pas supérieure à 10'789 fr. 35 alors que l’autorité précédente aurait retenu un montant de 14'120 fr. à ce titre. D’après l’appelant, son épouse aurait en outre dû établir sa charge fiscale et le fait qu’elle était effectivement payée, ce qu’elle n’aurait pas fait. Il n’y aurait dès lors pas lieu d’en tenir compte. 5.2.2 5.2.2.1 Le principe et le montant de la contribution d'entretien due selon l'art. 176 al. 1 ch. 1 CC se déterminent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(ATF 145 III 169 consid. 3.6 ; ATF 140 III 337 consid. 4.2.1 ; TF 5A_912/2020 du 5 mai 2021 consid. 3 et les réf. citées). Aux termes de l’art. 163 CC,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Dès lors que la méthode du minimum vital avec répartition de l’excédent s’impose désormais, sauf circonstances particulières, il y a lieu d’appliquer cette méthode pour le calcul de la contribution envers le</w:t>
      </w:r>
    </w:p>
    <w:p>
      <w:r>
        <w:t>- 14 - conjoint (Juge délégué CACI 12 février 2021/74). De manière générale, on doit donc désormais considérer que la méthode du minimum vital avec répartition de l’excédent devra être appliquée en principe pour calculer tous les types de contribution d’entretien, dont la contribution d’entretien d’un époux (Juge délégué CACI 15 mars 2021/122 avec réf. à TF 5A_800/2019 du 9 février 2021 consid. 4.3 ; TF 5A_891/2018 du 2 février 2021 consid. 4.1 ; TF 5A_311/2019 du 11 novembre 2020 consid. 6.6, destiné à la publication). 5.2.2.2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5.2.3 En l’espèce, l’intimée a produit en première instance une estimation d’impôt qu’elle aurait à payer pour un montant annuel de 10'789 fr. 35, soit environ 900 fr. par mois, fondé sur un revenu annuel imposable de 60'000 francs. L’ordonnance litigieuse retient cependant une charge fiscale de 14'120 fr. 90 sur la base d’un revenu annuel imposable de 72'747 fr., soit de 6'062 fr. 25 par mois, sans exposer en quoi il convient de s’écarter de la pièce produite. Il apparaît toutefois que ladite pièce est plus proche de la charge fiscale réelle de l’intimée que celle retenue par le premier juge dans la mesure où l’intimée pourra déduire de ses revenus annuels les pensions versées à son mari. Avec une contribution mensuelle d’à tout le moins 1'000 fr. par mois, le revenu imposable sera de l’ordre de 60'000 fr. et la charge fiscale, telle qu’alléguée par l’intimée, de 10'789 fr. 35 par année, donc de 900 fr. par mois au lieu des 1'176 fr. retenu par l’ordonnance entreprise. Il y a ainsi</w:t>
      </w:r>
    </w:p>
    <w:p>
      <w:r>
        <w:t>- 15 - lieu de compter une charge fiscale de 900 fr. par mois dans le budget de l’intimée. 5.3 L’appelant reproche ensuite à l’autorité précédente d’avoir retenu le montant de la prime de l’assurance complémentaire de l’intimée alors qu’aucune pièce n’aurait été produite concernant des frais médicaux couverts par l’assurance-maladie complémentaire. Ces frais, tels que produits par l’intimée, concerneraient l’assurance de base. L’intimée a toutefois rendu vraisemblable cette dépense dès lors qu’elle a produit une pièce relative au montant de la prime qu’elle paie en 2021. Non seulement, la jurisprudence permet expressément de prendre en compte cette charge dans le calcul des budgets (consid. 6.2.2.2 supra), mais en plus, contrairement à ce que l’appelant soutient, il n’appartient pas à l’intimée de démontrer qu’un cas d’assurance est effectivement survenu pour qu’on comptabilise sa prime dans son budget. L’ordonnance litigieuse sera par conséquent confirmé à ce sujet. 5.4 Pour ce qui est du loyer, qui serait de 1'192 fr. selon l’appelant, dès lors que la place de parc serait de 25 fr. et non de 190 fr. pour deux places, on relève que l’appelant a lui-même allégué le montant de 1'357 fr. en première instance à titre de loyer et qu’il a produit les factures relatives aux places de parc pour un total de 190 francs. Partant, rien ne justifie de s’écarter de l’appréciation du premier juge et le montant de 1'357 fr. sera confirmé pour le loyer de l’intimée. 5.5 Les charges de l’intimée sont dès lors les suivantes : Base mensuelle du minimum vital 1'200 fr. 00 Frais de logement 1'357 fr. 00 Assurance-maladie de base 505 fr. 35 Assurance complémentaire 399 fr. 55 Frais médicaux non remboursés 64 fr. 65 Frais de transport 24 fr. 40 Impôt 900 fr. 00</w:t>
      </w:r>
    </w:p>
    <w:p>
      <w:r>
        <w:t>- 16 - Total 4'450 fr. 95 Le disponible de l’intimée s’élève donc à 1'641 fr. 35 (2'096 + 3'996,30 – 4'450,95). 6. 6.1 6.1.1 Concernant sa situation, l’appelant invoque qu’un loyer à hauteur de 1'500 fr. devrait être retenu dans son budget, dès lors qu’il a dû quitter le logement conjugal. 6.1.2 Seuls les frais de logement effectifs ou raisonnables doivent être pris en considération dans le calcul du minimum vital élargi, menant à celui de la contribution d'entretien (TF 5A_767/2016 du 30 janvier 2017 consid. 3.1.1 ; TF 5A_1029/2015 du 1er juin 2016 consid. 4.3.1). En principe, il n'y a dès lors pas lieu de tenir compte de frais de logement pour un débiteur qui, logé provisoirement chez ses parents pour une durée indéterminée, n'en assume pas. Il lui sera loisible de faire valoir ses frais de logement effectifs dès conclusion d'un contrat de bail (TF 5A_372/2015 du 29 septembre 2015 consid. 3.3 ; TF 5A_837/2010 du 11 février 2011 consid. 3.1). 6.1.3 En l’espèce, l’appelant n’a produit aucune pièce depuis son déménagement le 20 juin 2021 concernant d’éventuels frais de logement. Il ne fait pas non plus valoir qu’il rechercherait un logement. Dans ces circonstances, aucune charge de loyer ne sera retenue dans son budget et il lui appartiendra de faire le nécessaire le moment venu. 6.2 L’appelant invoque également des frais de transport de 74 fr. par mois « à titre d’égalité de traitement ». Or, il ne produit aucune pièce à l’appui de son allégation et ne rend pas non plus vraisemblable que ce montant serait nécessaire ni que la dépense serait effective. Il n’y a dès lors pas lieu d’ajouter ce poste à son budget.</w:t>
      </w:r>
    </w:p>
    <w:p>
      <w:r>
        <w:t>- 17 - 6.3 Au vu de ce qui précède, les charges de l’appelant sont les suivantes, étant précisé qu’il ne conteste pas les autres montants retenus par le premier juge : Base mensuelle du minimum vital 1'200 fr. 00 Assurance-maladie de base 505 fr. 25 Impôt 62 fr. 00 Total 1'767 fr. 25 Son déficit est par conséquent de 930 fr. 25 (837 – 1'767,25). 7. 7.1 7.1.1 S’agissant de la contribution d’entretien allouée, l’appelant reproche au premier juge de ne pas avoir partagé l’excédent par moitié alors qu’il y aurait droit. 7.1.2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t>- 18 - 7.1.3 En l’occurrence, le premier juge n’a pas réparti l’excédent de 711 fr. 10 (1'641,35 – 930,25) entre les époux après couverture des minima vitaux, sans exposer les raisons d’une telle absence de partage. L’intimée ne s’est quant à elle pas déterminée à cet égard dans sa réponse du 30 juin 2021. Bien que les parties se séparent aujourd’hui, leur mariage a été célébré il y a bientôt dix ans, soit une période de temps non négligeable. En outre, l’intimée souffre certes de problèmes de santé, mais l’appelant touche également une rente d’invalidité depuis plusieurs années. Par conséquent, il n’apparaît pas que des motifs justifient de s’écarter d’une répartition de l’excédent par moitié. L’intimée n’en avance au demeurant aucun. L’appelant aura ainsi droit à la moitié de l’excédent et une contribution d’entretien mensuelle de 1'286 fr. (930,25 + [½ x 711,10] = 1'285,80), montant arrondi. 7.2 L’appelant conteste encore la date de début de la pension octroyée. Il estime qu’elle serait due à partir du 1er janvier 2021 et non à partir de son départ effectif du logement conjugal. Cependant, il n’allègue pas ni ne rend vraisemblable que l’intimée l’aurait entretenu durant la vie commune. Il indique au contraire dans le courrier envoyé le 18 janvier 2021 que l’intimée refuserait de l’aider financièrement. Dans ces circonstances, on ne voit pas ce qui justifierait le paiement de la pension avant le départ effectif du logement conjugal. Contrairement à ce qu’il prétend, ce n’était pas à l’intimée de « prouver qu’elle avait contribué à l’entretien du requérant avant la séparation », dès lors que c’est lui qui fait valoir une prétention à l’égard de l’intimée (art. 8 CC ; également consid. 5 supra). Le grief sera dès lors rejeté. 8. L’appelant fait enfin valoir que l’ordonnance querellée retiendrait à tort un remboursement du solde de l’éventuelle rente invalidité du deuxième pilier qu’il pourrait recevoir, après couverture de son déficit, jusqu’à concurrence d’un montant de 1'000 francs.</w:t>
      </w:r>
    </w:p>
    <w:p>
      <w:r>
        <w:t>- 19 - Avec l’appelant, il convient de constater qu’on ne sait rien de cette éventuelle rente invalidité. La seule pièce produite à cet égard est un courrier entre avocats qui fait état d’un litige pendant devant la Cour des assurances sociales. Or, on ne connaît pas l’avancement de cette procédure ni son objet, notamment si le montant de la rente est contesté ou si même son octroi est litigieux. Le versement d’une rente invalidité du deuxième pilier n’est ainsi pas rendu vraisemblable et ne justifie dès lors pas le mécanisme de remboursement tel que prévu par le premier juge. Le grief de l’appelant doit être admis, ce qui implique l’annulation du chiffre V du dispositif. 9. 9.1 En définitive, l’appel doit être partiellement admis et l’ordonnance réformée en ce sens que la contribution d’entretien de l’appelant est fixée à 1'286 fr. par mois à compter du départ effectif du logement conjugal et que le chiffre V du dispositif est supprimé. 9.2 9.2.1 Si l’instance d’appel statue à nouveau, elle se prononce sur les frais, soit les frais judiciaires et les dépens (art. 95 al. 1 CPC), de la première instance (art. 318 al. 3 CPC).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Conformément à l’art. 107 al. 1 let. c CPC, le tribunal peut s’écarter des règles générales et répartir les frais selon sa libre appréciation notamment lorsque le litige relève du droit de la famille.</w:t>
      </w:r>
    </w:p>
    <w:p>
      <w:r>
        <w:t>- 20 -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9.2.2 En l’occurrence, l’ordonnance litigieuse a été rendue sans frais, la procédure de mesures protectrices de l’union conjugale étant gratuite. Le premier juge a néanmoins alloué des dépens à hauteur de 1'000 fr. à l’intimée au vu de la durée et de la difficulté de la procédure. Il y a lieu de s’en tenir à ce montant, qui n’est du reste pas remis en cause en appel. 9.3 Au vu des conclusions de l’appelant qui obtient partiellement gain de cause, l’émolument forfaitaire de décision par 600 fr. (art. 65 al. 2 TFJC [tarif des frais judiciaires civils du 28 septembre 2010 ; BLV 270.11.5]), ainsi que les frais de la décision d’effet suspensif par 200 fr. (art. 7 al. 1 et 60 TFJC par analogie), seront répartis par moitié entre les parties, soit 400 fr. à charge de l’appelant et 400 fr. à charge de l’intimée (art. 106 al. 2 CPC), la part de l’appelant étant provisoirement laissée à la charge de l’Etat (art. 122 al. 1 let. a CPC). Compte tenu de la clé de répartition définie ci-dessus, les dépens de deuxième instance seront compensés. 9.4 9.4.1 Le conseil d’office a droit à une rémunération équitable pour ses opérations et débours dans la procédure d’appel (art. 122 al. 1 let. a CPC). Le juge applique un tarif horaire de 180 fr. pour l’avocat (art. 2 al. 1</w:t>
      </w:r>
    </w:p>
    <w:p>
      <w:r>
        <w:t>- 21 - RAJ [règlement du 7 décembre 2010 sur l’assistance judiciaire en matière civile ; BLV 211.02.3]). 9.4.2 En l’espèce, Me Schuler, conseil de l’appelant, a produit sa liste des opérations le 10 août 2021 et a annoncé avoir consacré 8 heures de travail au dossier. Vu la nature du litige et les difficultés de la cause, il y a lieu d’admettre ce nombre d’heures. Il s’en suit qu’au tarif horaire de 180 fr., l’indemnité de Me Schuler doit être fixée à 1'440 fr., montant auquel s'ajoutent les débours par 28 fr. 80 (2 % ; art. 3bis al. 1 RAJ), et la TVA sur le tout par 113 fr. 10, soit 1'581 fr. 90 au total, montant arrondi à 1'582 francs. 9.4.3 Le bénéficiaire de l’assistance judiciaire est tenu au remboursement des frais judiciaires et de l’indemnité à son conseil d’office mis provisoirement à la charge de l’Etat, dès qu’il sera en mesure de le faire (art. 123 CPC). Il incombe au Service juridique et législatif de fixer le principe et les modalités de ce remboursement (art. 39a CDPJ [Code du 12 janvier 2010 de droit privé judiciaire vaudois ; BLV 121.02]). Par ces motifs, la Juge déléguée de la Cour d’appel civile prononce : I. L’appel est partiellement admis. II. L’ordonnance de mesures protectrices de l’union conjugale du 28 mai 2021 est réformée comme il suit aux chiffres IV et V : IV. dit que l’intimée, X.________, née [...], contribuera à l’entretien de son époux W.________ par le régulier</w:t>
      </w:r>
    </w:p>
    <w:p>
      <w:r>
        <w:t>- 22 - versement d’une pension mensuelle de 1'286 fr. (mille deux cent huitante-six francs), payable d’avance le premier jour de chaque mois en mains de ce dernier, dès son départ effectif du logement conjugal ; V. [Supprimé.] L’ordonnance est confirmée pour le surplus. III. Les frais judiciaires de deuxième instance, arrêtés à 800 fr., sont mis à la charge de l’appelant W.________ à hauteur de 400 fr. (quatre cents francs) et de l’intimée X.________ à hauteur de 400 fr. (quatre cents francs), la part de l’appelant W.________ étant provisoirement laissée à la charge de l’Etat. IV. Les dépens de deuxième instance sont compensés. V. L’indemnité de Me Laurent Schuler, conseil d’office de l’appelant W.________, est arrêtée à 1'582 fr. (mille cinq cent huitante-deux francs). VI. Le bénéficiaire de l’assistance judiciaire est tenu au remboursement des frais judiciaires et de l’indemnité à son conseil d’office mis provisoirement à la charge de l’Etat, dès qu’il sera en mesure de le faire (art. 123 CPC). VII. L’arrêt est exécutoire. La juge déléguée : La greffière :</w:t>
      </w:r>
    </w:p>
    <w:p>
      <w:r>
        <w:t>- 23 - Du Le présent arrêt, dont la rédaction a été approuvée à huis clos, est notifié à : - Me Laurent Schuler (pour W.________), - Me Lionel Zeiter (pour X.________),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