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JS20.051614 vom 2. August 2021</w:t>
      </w:r>
    </w:p>
    <w:p>
      <w:r>
        <w:t>VD Tribunal cantonal, 2021-08-02, FR</w:t>
      </w:r>
    </w:p>
    <w:p>
      <w:r>
        <w:rPr>
          <w:b/>
        </w:rPr>
        <w:t xml:space="preserve">Quelle: </w:t>
      </w:r>
      <w:r>
        <w:t>https://mcp.opencaselaw.ch/entscheid/vd_gerichte_JS20.051614</w:t>
      </w:r>
    </w:p>
    <w:p>
      <w:r>
        <w:t>FR: VD_GERICHTE JS20.051614 du 2 août 2021</w:t>
      </w:r>
    </w:p>
    <w:p>
      <w:r>
        <w:t>IT: VD_GERICHTE JS20.051614 del 2 agosto 2021</w:t>
      </w:r>
    </w:p>
    <w:p>
      <w:pPr>
        <w:pStyle w:val="Heading2"/>
      </w:pPr>
      <w:r>
        <w:t>Erwägungen</w:t>
      </w:r>
    </w:p>
    <w:p>
      <w:r>
        <w:rPr>
          <w:b/>
        </w:rPr>
        <w:t>E. 4</w:t>
      </w:r>
    </w:p>
    <w:p>
      <w:r>
        <w:t>L'appelant invoque que l’état de fait est incomplet sur plusieurs points.</w:t>
      </w:r>
    </w:p>
    <w:p>
      <w:r>
        <w:rPr>
          <w:b/>
        </w:rPr>
        <w:t>E. 4.1</w:t>
      </w:r>
    </w:p>
    <w:p>
      <w:r>
        <w:t>En premier lieu, l'appelant reproche au premier juge de ne pas avoir tenu compte du fait que l'intimée avait transféré plus de 2'903'440 fr. de son compte [...] sur son compte auprès de la [...]. Il explique que l'intimée organise la procédure de divorce depuis 2018 et qu'elle a transféré ses avoirs déposés sur des comptes en [...] sur des comptes en Suisse, afin que ceux-ci soient difficilement accessibles à la justice [...]. Le premier juge n'a aucunement ignoré ce fait, qui figure en p. 10 de l'ordonnance attaquée, à savoir qu'entre le 31 janvier 2018 et le 3 juillet 2020, l'intimée a opéré divers transferts d'argent de son compte ouvert en [...] auprès de l'[...] vers son compte auprès de la [...] en Suisse, pour une somme totale de 2'903'440 francs. Ces transferts ne permettent toutefois pas pour autant de conclure que l'intimée tenterait de soustraire ses avoirs à la justice [...]. D'une part, ces transferts ont été effectués avant l'introduction de l'action en divorce. D'autre part, dans la mesure où l'intimée vit en Suisse et n'exerce aucune activité lucrative, les transferts en question ne paraissent pas particulièrement suspects. De plus, selon les faits retenus et non contestés, l'argent transféré provient uniquement des comptes ouverts au nom de l'intimée seule. Or, l'appelant n'allègue pas, ni ne démontre d'aucune manière que l'intimée tendrait à dilapider les acquêts du couple et à faire disparaître les valeurs de ses comptes de manière douteuse et contraire aux droits de l'appelant, droits que ce dernier ne rend d’ailleurs même pas vraisemblables.</w:t>
      </w:r>
    </w:p>
    <w:p>
      <w:r>
        <w:rPr>
          <w:b/>
        </w:rPr>
        <w:t>E. 4.2</w:t>
      </w:r>
    </w:p>
    <w:p>
      <w:r>
        <w:t>En deuxième lieu, l'appelant reproche au premier juge de ne pas avoir retenu le fait qu'il n'avait pas été informé que l'intimée entendait</w:t>
      </w:r>
    </w:p>
    <w:p>
      <w:r>
        <w:t>- 11 - mettre l'appartement qu'elle a acquis le 17 juin 2019 au nom de leur fils. Il considère que ce procédé corrobore l'intention de l'intimée de soustraire ses biens à la justice suisse. Il s’agit toutefois d'une allégation qui n'est aucunement démontrée. Au demeurant, il y a lieu de relever que les parties avaient convenu que l'intimée pouvait acquérir un appartement au moyen du produit de la vente de leur appartement commun, de sorte qu'il est difficile de discerner en quoi le fait de mettre l'appartement au nom de leur enfant commun pourrait porter préjudice aux intérêts de l’appelant.</w:t>
      </w:r>
    </w:p>
    <w:p>
      <w:r>
        <w:rPr>
          <w:b/>
        </w:rPr>
        <w:t>E. 5.1</w:t>
      </w:r>
    </w:p>
    <w:p>
      <w:r>
        <w:t>L'appelant se prévaut de l'urgence et de la nécessité des mesures de blocages, afin d'éviter que l'intimée ne soustraie ses biens à la justice [...] et rende ainsi impossible l'exécution du jugement en divorce et en liquidation du régime matrimonial. Il relève que la procédure de divorce n'est pas suffisamment avancée pour qu'il puisse démontrer le montant de son éventuelle créance dans le cadre de la liquidation du régime matrimonial, que l'intimée a transféré en plusieurs acomptes une somme de 2'903'440 fr. sur son compte auprès de la [...] à son insu, qu’elle est en mesure de transférer tous ses avoirs dans un autre pays et qu'une décision [...] ne pourra pas être exécutée dans un délai raisonnable.</w:t>
      </w:r>
    </w:p>
    <w:p>
      <w:r>
        <w:rPr>
          <w:b/>
        </w:rPr>
        <w:t>E. 5.2</w:t>
      </w:r>
    </w:p>
    <w:p>
      <w:r>
        <w:t>En l’espèce, on ne se trouve dans aucun cas visé par l'art. 10 let. b LDIP, de sorte que la compétence des autorités suisses doit être déniée.</w:t>
      </w:r>
    </w:p>
    <w:p>
      <w:r>
        <w:t>- 13 - En particulier, l’appelant n’a pas démontré qu’il lui serait impossible d’obtenir du tribunal [...] saisi de l’action en divorce de mesures analogues à celles qu’il requiert en Suisse. Au contraire, il résulte des différents éléments figurant au dossier que le droit [...] a permis à plusieurs reprises aux parties d’obtenir des mesures conservatoires – notamment le blocage puis le séquestre d’avoirs bancaires détenus en Suisse – dans le cadre de leur procédure de divorce. Il apparaît ainsi que l’appelant peut solliciter et obtenir du tribunal [...] compétent au fond des mesures analogues à celles fondées sur les art. 276 ss CPC requises par ses soins dans le cadre de la présente procédure. Pour le surplus, aucun élément ne permet de redouter que les mesures conservatoires qui seraient le cas échéant ordonnées par le tribunal [...] ne pourraient ensuite pas être exécutées en Suisse au domicile de l’intimée. Il peut à cet égard être renvoyé à la motivation du premier juge, qui a relevé à juste titre que les autorités [...] avaient d’ores et déjà démontré qu’elles rendaient les décisions qui s’imposaient dans des délais adéquats et étaient notamment susceptibles ordonner le séquestre de comptes bancaires en Suisse. Or, aucun élément ne permet de craindre que la Suisse refuserait de donner suite aux décisions [...], ce que l’appelant ne prétend d’ailleurs pas. Quant à l’hypothèse dans laquelle les mesures devraient être ordonnées pour garantir une exécution future sur des biens en Suisse, l’appelant ne rend pas même vraisemblable l’existence de quelconques prétentions de sa part dans le cadre du divorce sur les avoirs détenus en Suisse par l’intimée, ni a fortiori que celles-ci seraient légitimes. Ses allégations selon lesquelles tous les biens en possession de son épouse lui appartiendraient et devraient lui revenir lors de la liquidation du régime matrimonial ne sont étayées par aucun élément. Il n’a en particulier fourni aucune information quant à la quotité de ses prétentions, n’a formulé aucune conclusion chiffrée et n’a pas produit le moindre document à ce sujet, alors qu’il lui aurait à tout le moins été loisible de produire les conclusions prises par ses soins dans le cadre de la procédure de divorce pendante en [...]. Le dossier de la présente cause ne contient dès lors pas</w:t>
      </w:r>
    </w:p>
    <w:p>
      <w:r>
        <w:t>- 14 - le moindre élément permettant d’accréditer ses allégations et donc la quotité et le bienfondé de ses éventuelles prétentions, qui apparaissent au demeurant douteuses au vu des rares informations figurant au dossier quant à la situation patrimoniale des époux. L’appelant invoque que la procédure de divorce ne serait pas suffisamment avancée pour lui permettre de chiffrer ses prétentions. Il aurait cependant à tout le moins pu rendre vraisemblable l’existence de telles prétentions et le montant approximatif de celles-ci, pièces à l’appui. Quoi qu’il en soit, rien ne permet de constater que l’intimée aurait tenté de dissimuler des avoirs ou de les soustraire à une éventuelle exécution du jugement de divorce à intervenir. Les agissements que l’appelant reproche à l’intimée peuvent au contraire s’expliquer par la situation personnelle, professionnelle et financière de cette dernière et n’apparaissent pas avoir été dictés par les intentions que l’appelant lui prête. L’épouse semble en outre disposée à donner suite aux sollicitations de l’appelant quant à l’état de sa fortune et lui transmet les informations qu’il requiert en lien avec l’existence et le suivi de ses biens patrimoniaux. Pour le surplus, s’agissant en particulier de la date des transferts financiers ou de l’affectation du produit de la vente de l’immeuble en Suisse, il peut, à cet égard également, être renvoyé à la motivation du premier juge. Il sera encore relevé qu’aucun indice ne permet de redouter que l’intimée ne serait, en l’absence des mesures conservatoires requises, pas en mesure d’honorer les obligations qui lui incomberaient, le cas échéant, en lien avec le divorce des époux. Enfin, il ne saurait être considéré qu’il y aurait péril en la demeure à ce que les autorités suisses ordonnent les mesures sollicitées. Non seulement, comme déjà relevé, elles avaient d’ores et déjà été requises auprès des autorités [...], mais de surcroît l’appelant se prévaut, à l’appui de ses prétentions, de faits qui remontent à plusieurs années, les transferts bancaires ayant été effectués entre 2018 et 2020 et l’appartement de [...] acquis en juin 2019. Il ne prétend toutefois pas qu’il en aurait eu connaissance très récemment, ni qu’il aurait entrepris quoi que ce soit avant le mois d’octobre 2020 en [...] et le 28 décembre 2020 en Suisse et ne fournit à cet égard aucune explication qui permettrait d’envisager qu’un motif impérieux serait apparu ultérieurement.</w:t>
      </w:r>
    </w:p>
    <w:p>
      <w:r>
        <w:t>- 15 - Partant, à l’instar du premier juge, il y a lieu de constater que l’appelant ne démontre ni l’urgence ni la nécessité des mesures requises et n’apporte aucun élément probant permettant de retenir un risque d’atteinte à ses intérêts économiques.</w:t>
      </w:r>
    </w:p>
    <w:p>
      <w:r>
        <w:rPr>
          <w:b/>
        </w:rPr>
        <w:t>E. 5.3</w:t>
      </w:r>
    </w:p>
    <w:p>
      <w:r>
        <w:t>L'art. 10 let. b LDIP prévoit que les tribunaux ou les autorités suisses du lieu de l'exécution de la mesure sont compétents pour prononcer des mesures provisoires. Cette disposition reconnaît ainsi la compétence pour ordonner des mesures provisoires à un tribunal suisse non compétent pour connaître du fond si celui-ci se trouve au lieu de l'exécution. Sous l'empire de l'art. 10 aLDIP, le Tribunal fédéral a énuméré les cas dans lesquels, lorsqu'une procédure de divorce est pendante à l'étranger, des mesures provisoires de divorce peuvent être prononcées par les autorités judiciaires suisses. Tel est le cas quand le droit que doit appliquer le tribunal étranger ne connaît pas une réglementation analogue à celle de l'art. 276 CPC, quand les mesures ordonnées par le tribunal étranger ne peuvent pas être exécutées au domicile de la ou des parties en Suisse, quand des mesures doivent être ordonnées pour garantir une exécution future sur des biens sis en Suisse, quand il y a péril en la demeure ou quand on ne saurait espérer que le tribunal étranger prenne une décision dans un délai convenable (ATF 134 III 326 consid. 3.5.1 ; TF 5A_910/2017 précité consid. 4.2 et les références). Après la révision de l'art. 10 LDIP entrée en vigueur le 1er janvier 2011, cette jurisprudence demeure valable lorsque des mesures provisoires doivent être prononcées en Suisse sur la base de l'art. 10 let. b LDIP (TF 5A_910/2017 précité consid. 4.2 et les références). Le but de l'ancien comme du nouvel art. 10 LDIP est en effet d'assurer, dans certaines circonstances particulières, une protection immédiate et sans lacune, alors même que le juge suisse ne serait pas compétent sur le fond du litige (ATF 134 III 326 consid. 3.4 ; TF 5A_910/2017 précité consid. 4.2 ; TF 5A_762/2011 du 4 septembre 2012 consid. 5.3.5). Cette disposition ne s'applique toutefois que si les mesures requises sont urgentes et nécessaires, ce qu'il appartient au requérant de démontrer (TF 5A_910/2017 précité consid. 4.2 et les références ; TF 5A_762/2011 précité consid. 5.3.5).</w:t>
      </w:r>
    </w:p>
    <w:p>
      <w:r>
        <w:rPr>
          <w:b/>
        </w:rPr>
        <w:t>E. 6</w:t>
      </w:r>
    </w:p>
    <w:p>
      <w:r>
        <w:t>Compte tenu de ce qui précède, l'appel doit être rejeté conformément à l’art. 312 al. 1 in fine CPC et l’ordonnance entreprise confirmée. Partant, les frais judiciaires de deuxième instance, arrêtés à 2'100 fr., soit 200 fr. pour la décision d’effet suspensif et 1’900 fr. pour la procédure d’appel (art. 60 et art. 65 al. 1 et 3 TFJC appliqué par analogie en vertu de l’art. 7 al. 1 TFJC [tarif des frais judiciaires civils du 28 septembre 2010 ; BLV 270.11.5]), doivent être mis à la charge de l’appelant, qui succombe (art. 106 al. 1 CPC). Il n’y a pas matière à l’allocation de dépens en faveur de l’intimée pour ses déterminations sur l’appel, dans la mesure où elles n’avaient pas été sollicitées. En revanche, l’appelant versera à l’intimée des dépens pour ses déterminations sur la requête d’effet suspensif à hauteur de 700 fr. (art. 7 TDC [tarif des dépens en matière civile du 23 novembre 2010 ; BLV 270.11.6]). Par ces motifs, la juge déléguée de la Cour d’appel civile prononce : I. L’appel est rejeté. II. L’ordonnance est confirmée.</w:t>
      </w:r>
    </w:p>
    <w:p>
      <w:r>
        <w:t>- 16 - III. Les frais judiciaires de deuxième instance, arrêtés à 2'100 fr. (deux mille cent francs) sont mis à la charge de l’appelant A.K.________. IV. L’appelant A.K.________ doit verser à l’intimée la somme de 700 fr. (sept cents francs) à titre de dépens de deuxième instance. V. L’arrêt est exécutoire. La juge déléguée : La greffière : Du Le présent arrêt, dont la rédaction a été approuvée à huis clos, est notifié en expédition complète à : - Me Astrid von Bentivegni Schaub (pour A.K.________), - Me Laurence Krayenbühl (pour B.K.________),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- 17 -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