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JS20.039867 vom 13. Juli 2021</w:t>
      </w:r>
    </w:p>
    <w:p>
      <w:r>
        <w:t>VD Tribunal cantonal, 2021-07-13, FR</w:t>
      </w:r>
    </w:p>
    <w:p>
      <w:r>
        <w:rPr>
          <w:b/>
        </w:rPr>
        <w:t xml:space="preserve">Quelle: </w:t>
      </w:r>
      <w:r>
        <w:t>https://mcp.opencaselaw.ch/entscheid/vd_gerichte_JS20.039867</w:t>
      </w:r>
    </w:p>
    <w:p>
      <w:r>
        <w:t>FR: VD_GERICHTE JS20.039867 du 13 juillet 2021</w:t>
      </w:r>
    </w:p>
    <w:p>
      <w:r>
        <w:t>IT: VD_GERICHTE JS20.039867 del 13 luglio 2021</w:t>
      </w:r>
    </w:p>
    <w:p>
      <w:pPr>
        <w:pStyle w:val="Heading2"/>
      </w:pPr>
      <w:r>
        <w:t>Erwägungen</w:t>
      </w:r>
    </w:p>
    <w:p>
      <w:r>
        <w:rPr>
          <w:b/>
        </w:rPr>
        <w:t>E. 11</w:t>
      </w:r>
    </w:p>
    <w:p>
      <w:r>
        <w:t>avril 2018 consid. 4.3.2 et les réf. cit.).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enfants, l'art. 296 al. 3 CPC impose la maxime d'office (TF 5A_608/2014 du 16 décembre 2014 consid. 4.2.1 ; TF 5A_194/2012 du 8 mai 2012 consid. 4.2 ; Juge délégué CACI 20 février 2015/136 consid. 3 ; Tappy, CR CPC, op. cit., n. 5 ad art. 272 CPC ; Bohnet, Commentaire paratique, op. cit., nn. 29-30 ad art. 276 CPC) ; dans ce cadre, le juge ordonne les mesures nécessaires sans être lié par les conclusions des parties et même en l'absence de conclusions (ATF 128 III 411 consid. 3.1 et les réf. citées).</w:t>
      </w:r>
    </w:p>
    <w:p>
      <w:r>
        <w:t>- 20 - 2.3 Lorsque le procès est soumis à la maxime inquisitoire illimitée, il convient de considérer que l'application stricte de l'art. 317 al. 1 CPC concernant les faits et moyens de preuve nouveaux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En l’espèce, la présente cause étant soumise à la maxime inquisitoire illimitée, les pièces produites par les parties sont recevables, indépendamment de ce que prévoit l’art. 317 al. 1 CPC. 3. 3.1 L’appel porte uniquement sur les relations personnelles entre l’intimée et ses fils B.N.________ et C.N.________. L’appelant estime qu’en rendant l’ordonnance attaquée, le premier juge n’aurait pas tenu compte des éléments discutés et admis lors de l’audience du 7 décembre 2020, ni de la situation complexe qui prévaut dans ce dossier. Le droit de visite, tel qu’il est fixé dans l’ordonnance entreprise, irait ainsi à l’encontre des intérêts légitimes d’B.N.________ et C.N.________. 3.2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cf. ég. ATF 142 III 617 consid. 3.2.3 et la réf. citée) ; dans chaque cas, la</w:t>
      </w:r>
    </w:p>
    <w:p>
      <w:r>
        <w:t>- 21 - décision doit donc être prise de manière à répondre le mieux possible à ses besoins (ATF 129 III 250 consid. 3.4.2 et les réf. citées ; TF 5A_111/2019 du 9 juillet 2019 consid. 2.3), l'intérêt des parents étant relégué à l'arrière-plan (ATF 130 III 585 consid. 2.2.1 et les réf. citées ; TF 5A_111/2019, déjà cité, consid. 2.3).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5A_184/2017 du 9 juin 2017 consid. 4.1; TF 5A_478/2018 du 10 août 2018 consid. 5.2.1). Le maintien et le développement de ce lien étant évidemment bénéfique pour l'enfant, les relations personnelles doivent donc être privilégiées, sauf si le bien de l'enfant est mis en danger (ATF 142 III 1 consid. 3.4). Ainsi,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 citées ; TF 5A_266/2019 du 5 août 2019 consid. 3.3.1 ; TF 5A_210/2018 du 14 décembre 2018 consid. 2.1). La mise en danger concrète du bien de l'enfant est nécessaire non seulement pour justifier un refus ou un retrait du droit aux relations personnelles, mais aussi pour imposer au titulaire l'obligation de se</w:t>
      </w:r>
    </w:p>
    <w:p>
      <w:r>
        <w:t>- 22 - soumettre à des modalités particulières telles qu'un droit de visite surveillé (Meier/Stettler, Droit de la filiation, 6e éd., 2019, nn. 1003 ss). Si les répercussions négatives d'un droit de visite peuvent être limitées de façon suffisante par la présence d'une tierce personne, le droit de visite ne peut être supprimé (TF 5A_92/2009 du 22 avril 2009, publié in FamPra.ch 2009 p. 786). L'établissement d'un droit de visite surveillé nécessite des indices concrets de mise en danger du bien de l'enfant (TF 5P.131/2006 du 25 août 2006, publié in FamPra.ch 2007 p. 167). Dès lors, il convient de faire preuve d'une certaine retenue lors du choix de cette mesure (TF 5A_401/2014 du 18 août 2014 consid. 3.2.2 et la jurisprudence citée ; Meier/Stettler, op. cit., nn. 1014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 3.3 En l’espèce, l’exercice du droit de visite de l’intimée a été fixé dans le cadre d’une convention signée par les parties lors de l’audience de validation de l’expulsion de l’intimée tenue le 12 octobre 2020, à la suite d’une violente altercation conjugale survenue au domicile familial, alors que les enfants B.N.________ et C.N.________ se trouvaient à la maison. En ce qui concerne les relations personnelles entre la mère et les enfants, déjà fortement éprouvés par le conflit parental, les parties sont convenues, à titre superprovisionnel, que l’intimée prendrait contact avec B.N.________ et C.N.________, alternativement, par téléphone, le mardi et le jeudi, à 17 heures. Les enfants étaient alors suivis par la DGEJ, ORPM de l’Ouest, à la suite d’un signalement adressé le 11 mai 2020 par la Fondation de Nant concernant la situation de l’aîné, B.N.________. Celui-ci souffrait depuis de nombreux mois d’une forme de dépression et était hospitalisé au sein de l’UHPEA (Unité d’hospitalisation psychiatrique pour adolescents du</w:t>
      </w:r>
    </w:p>
    <w:p>
      <w:r>
        <w:t>- 23 - Département de psychiatrie du CHUV) en raison d’idées suicidaires scénarisées, vraisemblablement liées à la dynamique familiale Le rapport d’évaluation établi par la DGEJ à la suite de ce signalement décrivait une situation familiale préoccupante, avec un conflit conjugal très marqué et une absence de cohésion parentale concernant l’éducation des enfants. S’agissant plus particulièrement d’B.N.________, le rapport faisait état d’une grande souffrance, la mère mettant énormément de pression sur lui, notamment sur le plan des apprentissages scolaires. La DGEJ faisait état à cet égard de la difficulté d’B.N.________ de pouvoir bénéficier du suivi thérapeutique débuté en 2019, vu le nombre d’heures de soutien scolaires mises en place par la mère, y compris durant les moments où B.N.________ était censé se rendre à ses séances. De son côté, le père, avec lequel B.N.________ entretenait de bonnes relations, n’arrivait pas à se positionner, par peur d’attiser le conflit conjugal. Dans cette dynamique, B.N.________ ne pouvait se retrouver que dans un conflit de loyauté massif. A l’audience de la Justice de paix du 15 septembre 2020 faisant suite à ce signalement, la question de l’état psychologique d’B.N.________ a été évoquée, de même que l’opportunité d’étendre le mandat de la DGEJ à la situation de C.N.________, celui-ci étant aussi pris dans le problème systémique familial. Les enfants, déjà mis à mal par l’important conflit parental et le dysfonctionnement de la cellule familiale, ont été fortement perturbés par la violente altercation survenue le 20 septembre 2020. Aux fins de protéger les enfants, une curatelle d’assistance éducative et de surveillance des relations personnelles a été instaurée le 27 octobre 2020 en faveur d’B.N.________ et C.N.________. Dans le cadre de la procédure de mesures protectrices de l’union conjugale initiée par l’appelant, le premier juge a confié un mandat d’évaluation à l’UEMS afin de faire toute proposition sur la garde et le droit de visite s’agissant d’B.N.________ et C.N.________, la question centrale</w:t>
      </w:r>
    </w:p>
    <w:p>
      <w:r>
        <w:t>- 24 - étant celle du droit aux relations personnelles entre les enfants et leur mère. Le 4 janvier 2021, la DGEJ, ORPM de l’Ouest, a adressé à l’autorité intimée un rapport sur la situation des enfants B.N.________ et C.N.________. En ce qui concerne plus particulièrement les relations personnelles avec la mère, la DGEJ indiquait avoir pris la mesure, après avoir rencontré les divers intéressés, de l’ampleur de l’état de crainte dans lequel se trouvaient les enfants, voire un état post-traumatique important. Elle expliquait que ces derniers n’étaient pas prêts à rencontrer leur mère, y compris au sein d’un espace sécurisé, et qu’ils mentionnaient une forte peur, allant jusqu’à craindre pour leur intégrité physique. Elle relevait par ailleurs un important état de déni de l’intimée concernant l’impact traumatique sur les enfants. Dans ces circonstances, elle estimait que la mise en place d’un droit de visite, même sous forme surveillée, serait dangereuse pour le bien-être psychique des enfants. Elle recommandait une reprise de contact par accompagnement thérapeutique auprès du Centre des Boréales, permettant ainsi de garantir la sécurité des enfants dans l’espace de rencontre, et qu’un travail de fond puisse s’accomplir s’agissant de l’état traumatique des enfants. Dans un second temps seulement, elle préconisait une mesure telle qu’Espace Contact, où un éducateur ou une éducatrice étaient présents de manière constante, permettant de favoriser une reprise de lien de manière sécure. Dans ces circonstances, il apparaît pour le moins étonnant que le premier juge ait décidé de s’écarter des recommandations de la DGEJ et d’ordonner un élargissement du droit aux relations personnelles de l’intimée, en dépit de l’état traumatique avéré des enfants, sans laisser le temps au Centre de consultation des Boréales de commencer son travail ou, à tout le moins, sans attendre la reddition du rapport d’évaluation de l’UEMS annoncée pour juillet 2021. Cela apparaît d’autant plus contestable qu’il ressort du rapport de la DGEJ qu’B.N.________ et C.N.________ n’étaient pas prêts à rencontrer leur mère, y compris au sein d’un espace sécurisé, et que la mère ne paraissait guère faire preuve d’empathie s’agissant du traumatisme vécu par ses enfants et de la crainte qu’ils nourrissaient à</w:t>
      </w:r>
    </w:p>
    <w:p>
      <w:r>
        <w:t>- 25 - son égard. Compte tenu du contexte familial, une reprise des contacts entre la mère et ses fils, sans support thérapeutique, apparaît prématurée. Elle s’avère en l’état contraire à l’intérêt des enfants, déjà particulièrement éprouvés par la situation familiale, les divers intervenants insistant tous sur l’importance et la nécessité d’un travail thérapeutique préalable au vu du blocage des relations entre mère- enfants. La décision du premier juge prête également le flanc à la critique en tant qu’elle retient que l’exercice du droit de visite à l’intérieur des locaux de Point Rencontre permettra de garantir l’intégrité des enfants. Ces considérations trahissent une méconnaissance des prestations de cette entité, qui ne propose ni une prise en charge individualisée, ni un support thérapeutique. Si la surveillance exercée au sein de Point Rencontre permet de prévenir les débordements physiques essentiellement du parent qui exerce le droit de visite, elle ne propose pas de suivi susceptible de favoriser le rétablissement progressif des relations personnelles entre le titulaire du droit de visite et l’enfant. Aucun contrôle non plus n’a lieu quant au contenu verbal échangé entre parent et enfant, alors que les séances peuvent durer plusieurs heures, comme ici deux heures. En outre, le contenu des relations parents-enfant ne fait l’objet d’aucun rapport, tout au plus le Point Rencontre est-il astreint à l’obligation de signalement selon l’art. 26a LProMin (loi sur la protection des mineurs du 4 mai 2004 ; BLV 850.41). Cela étant, on ne constate en l’état aucune amélioration de la situation. Lors de son audition par la Juge déléguée, B.N.________ a indiqué clairement qu’il ne souhaitait pas avoir avec sa mère d’autres contacts de quelque nature que ce soit, hormis les appels téléphoniques hebdomadaires. Quant à C.N.________, il n’a pas souhaité que ses propos figurent dans le résumé communiqué à ses parents, ce qui ne manque pas d’interpeller. Dans son rapport actualisé produit le 9 juin 2021, la DGEJ relève que la position des enfants demeure rigide et qu’ils persistent dans le refus d’entretenir des relations personnelles avec leur mère, ce qui devient inquiétant sur le plan de leur développement psychique. Dans ces</w:t>
      </w:r>
    </w:p>
    <w:p>
      <w:r>
        <w:t>- 26 - circonstances, vu leur âge et leur capacité de discernement, on ne voit pas qu’il soit dans l’intérêt des enfants d’ordonner une reprise du droit de visite de la mère par l’intermédiaire d’un Point Rencontre, sans intervention thérapeutique préalable, tant le lien mère-enfants apparaît profondément endommagé. Comme le soutient à juste titre l’appelant, l’introduction d’un Point Rencontre à ce stade ne ferait qu’ajouter un élément d’instabilité à gérer, alors qu’[...] et C.N.________ apparaissent déjà passablement perturbés par la situation familiale. Les rapports actualisés émanant de l’UEMS et la DGEJ vont également dans ce sens, la première estimant qu’à l’heure actuelle un travail thérapeutique entre la mère et les enfants reste une condition préalable à toute disposition de relations personnelles et la seconde insistant sur la nécessité d’entreprendre dans un premier temps un tel travail au sein des Boréales en vue de rétablir les contacts mère-enfants. Vu le contexte familial, il est indispensable que la relation de l’intimée avec ses enfants puisse tentée d’être reprise dans un cadre protecteur pour les deux adolescents et se construise sur des bases saines et solides, que seule l’intervention du Centre des Boréales apparaît en l’état à même de garantir. On ne peut donc que souhaiter qu’elle soit rapidement mise en œuvre, ce qui devrait en principe être le cas prochainement, les Boréales ayant évoqué la fin août 2021 pour débuter son travail avec cette famille. A cet égard, les enfants, au vu de leur âge et de leur capacité de discernement évidente, devront être entendus et respectés dans leur volonté ou non d’entamer la thérapie proposée. Quant à l’expertise pédopsychiatrique préconisée par la DGEJ dans son courrier du 9 juin 2021, il apparaît à ce stade prématuré de l’ordonner, les Boréales n’ayant pas encore commencé leur travail et la reddition du rapport de l’UEMS devant intervenir très prochainement. Compte tenu de ce qui précède, l’ordonnance attaquée sera réformée en ce sens que le droit de visite de l’intimée par l’intermédiaire du Point de Rencontre est supprimé, les chiffres IV, V, VI et VII étant réformés en conséquence. Il convient de préciser que la situation pourra être revue dès que les circonstances le permettront, eu égard aux</w:t>
      </w:r>
    </w:p>
    <w:p>
      <w:r>
        <w:t>- 27 - mesures en cours. Dans l’intervalle, l’intimée n’est pas privée de tout lien avec ses enfants puisque les contacts téléphoniques hebdomadaires sont maintenus. 4. 4.1 En conclusion, l’appel doit être admis et l’ordonnance réformée dans le sens qui précède. 4.2 Vu l’issue du litige, les frais judiciaires de deuxième instance, arrêtés à 800 fr., soit 200 fr. pour l’ordonnance d’effet suspensif (art. 7 al. 1 et 60 TFJC [tarif des frais judiciaires en matière civile du 28 septembre 2010 ; BLV 270.11.5] par analogie) et 600 fr. pour l’appel (art. 65 al. 2 TFJC), seront mis à la charge de l’intimée, qui succombe (art. 106 al. 1 CPC). L’intimée versera ainsi à l’appelant la somme de 600 fr. à titre de restitution de l’avance de frais fournie par ce dernier (art. 111 al. 2 CPC). 4.3 Au vu du sort de l’appel, l’intimée versera également à l’appelant des dépens de deuxième instance, arrêtés à 2'000 fr. (art. 9 al. 2 TDC [tarif des dépens en matière civile du 23 novembre 2010 ; BLV 270.11.6]). Par ces motifs, la juge déléguée de la Cour d’appel civile prononce : I. L’appel est admis. II. L’ordonnance est réformée aux chiffres IV, V, VI et VII de son dispositif comme il suit : IV. [supprimé] V. [supprimé]</w:t>
      </w:r>
    </w:p>
    <w:p>
      <w:r>
        <w:t>- 28 - VI. [supprimé] VII. [supprimé] III. Les frais judiciaires de deuxième instance, arrêtés à 800 fr. (huit cents francs), sont mis à la charge de l’intimée Q.________. IV. L’intimée Q.________ versera à l’appelant A.N.________ la somme de 2'600 fr. (deux mille six cents francs) à titre de dépens et de restitution d’avance de frais de deuxième instance. V. L’arrêt est exécutoire. La juge déléguée : La greffière : Du Le présent arrêt, dont la rédaction a été approuvée à huis clos, est notifié en expédition complète à : - Me Christine Raptis (pour A.N.________), - Me Jacques Barillon (pour Q.________), - M. L.________, curateur, ORPM de l’Ouest,</w:t>
      </w:r>
    </w:p>
    <w:p>
      <w:r>
        <w:t>- 29 - et communiqué à : - M. le Président du Tribunal civil de l’arrondissement de La Côte, - aux enfant B.N.________, né le [...] 2006 et C.N.________, né le [...] 2008, - DGEJ, Unité d’évaluation et missions spécifiques, - Point Rencontre.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