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JS20.033240 vom 18. Januar 2021</w:t>
      </w:r>
    </w:p>
    <w:p>
      <w:r>
        <w:t>VD Tribunal cantonal, 2021-01-18, FR</w:t>
      </w:r>
    </w:p>
    <w:p>
      <w:r>
        <w:rPr>
          <w:b/>
        </w:rPr>
        <w:t xml:space="preserve">Quelle: </w:t>
      </w:r>
      <w:r>
        <w:t>https://mcp.opencaselaw.ch/entscheid/vd_gerichte_JS20.033240</w:t>
      </w:r>
    </w:p>
    <w:p>
      <w:r>
        <w:t>FR: VD_GERICHTE JS20.033240 du 18 janvier 2021</w:t>
      </w:r>
    </w:p>
    <w:p>
      <w:r>
        <w:t>IT: VD_GERICHTE JS20.033240 del 18 gennaio 2021</w:t>
      </w:r>
    </w:p>
    <w:p>
      <w:pPr>
        <w:pStyle w:val="Heading2"/>
      </w:pPr>
      <w:r>
        <w:t>Erwägungen</w:t>
      </w:r>
    </w:p>
    <w:p>
      <w:r>
        <w:rPr>
          <w:b/>
        </w:rPr>
        <w:t>E. 3</w:t>
      </w:r>
    </w:p>
    <w:p>
      <w:r>
        <w:t>L’appelante conteste le calcul du minimum vital de l’intimé, notamment pour les postes de charges suivants.</w:t>
      </w:r>
    </w:p>
    <w:p>
      <w:r>
        <w:rPr>
          <w:b/>
        </w:rPr>
        <w:t>E. 3.1</w:t>
      </w:r>
    </w:p>
    <w:p>
      <w:r>
        <w:t>L’appelante fait grief au premier juge d’avoir omis de déduire la redistribution du produit des taxes environnementales de la prime d’assurance-maladie de l’intimé. Celle-ci s’élèverait donc à 418 fr. 95 en</w:t>
      </w:r>
    </w:p>
    <w:p>
      <w:r>
        <w:t>- 9 - lieu et place des 425 fr. 40 retenus. En l’espèce, il est exact que le premier juge aurait dû déduire le montant de 6 fr. 45 de la prime d’assurance-maladie de base de l’intimé relatif à la redistribution du produit des taxes environnementales (COV et CO2). Cette prime se monte dès lors à 418 fr. 95. Ce montant a par ailleurs été admis par l’intimé.</w:t>
      </w:r>
    </w:p>
    <w:p>
      <w:r>
        <w:rPr>
          <w:b/>
        </w:rPr>
        <w:t>E. 3.2</w:t>
      </w:r>
    </w:p>
    <w:p>
      <w:r>
        <w:t>L’appelante reproche au premier juge d’avoir retenu un montant de 65 fr. 70 à titre de prime d’assurance-maladie complémentaire pour l’intimé, alors que ce montant équivaudrait à la prime en question sur trois mois. Il convient de donner raison à l’appelante également sur ce point, qui a également été admis par l’intimé. Partant, le montant de l’assurance-maladie complémentaire de l’intimé est de 21 fr. 90 par mois.</w:t>
      </w:r>
    </w:p>
    <w:p>
      <w:r>
        <w:rPr>
          <w:b/>
        </w:rPr>
        <w:t>E. 3.3</w:t>
      </w:r>
    </w:p>
    <w:p>
      <w:r>
        <w:t>L’appelante fait ensuite grief au premier juge d’avoir retenu un montant de 150 fr. à titre de frais médicaux. Elle soutient qu’au vu des pièces produites, soit trois décomptes totalisant un montant de 134 fr., ainsi que la franchise de 500 fr., l’intimé s’acquitterait de 634 fr. par année, soit 53 fr. par mois pour ses frais médicaux. Elle ajoute qu’il ne doit pas être tenu compte des frais dentaires, les pièces produites à l’appui de ces frais étant des devis, elles ne constituent pas des frais effectifs. L’intimé, en se basant sur les pièces produites en appel déclarées irrecevables (cf. consid. 2.3.2 supra), soutient que ses frais médicaux non remboursés se sont élevés en moyenne à 100 fr. par mois en 2020, que ses frais dentaires se sont élevés à 147 fr. 20 pour 2020, ceux-ci ne tenant pas compte des frais selon le devis produit en première instance. Il fait valoir que le premier juge aurait dès lors dû retenir un</w:t>
      </w:r>
    </w:p>
    <w:p>
      <w:r>
        <w:t>- 10 - montant de 300 fr. s’agissant de ses frais médicaux non remboursés et de ses frais dentaires. En l’espèce, lors de la procédure de première instance, l’intimé a produit, non pas trois mais quatre décomptes de frais médicaux (cf. pièce 10 du bordereau du 20 août 2020), totalisant la somme de 182 fr. 90 à ce titre. Les frais médicaux non remboursés de l’intimé rendus vraisemblables par ce dernier se montent donc à 682 fr. 90, comprenant les décomptes de frais ainsi que la franchise de 500 fr., soit un total de 56 fr. 90 par mois. S’agissant des frais dentaires de l’intimé, on rappellera que les pièces produites en appel par celui-ci sont irrecevables au vu de l’art. 317 CPC (cf. consid. 2.3.2 supra). En outre, les devis produits en première instance rendent vraisemblables que l’intimé est suivi par un dentiste et qu’il a eu besoin à deux reprises, en 2019 et 2020, de soins dentaires. Ils n’établissent en revanche pas que ces frais ont été payés, ni que l’intimé aura encore besoin de soins d’une importance comparable dans les années à venir. Selon la jurisprudence, un simple devis ne permet pas de retenir la réalité des frais qui auraient été engagés (TF 5C.269/1999 du 12 février 2001 consid. 3 ; CACI 24 octobre 2017/584 consid. 4.2 ; CACI du 4 avril 2017/64 consid. 5.2.3). Dès lors, l’intimé supportant le fardeau de la preuve de ses charges, on ne retiendra à titre de frais dentaires, que ceux du contrôle périodique, estimés, puis facturés 56 fr. 10 en février 2020 par le médecin-dentiste, que l’on retiendra comme ayant lieu une fois par année, ce qui correspond à 4 fr. 70 par mois. Partant, les frais médicaux de l’intimé se montent à 61 fr. 60.</w:t>
      </w:r>
    </w:p>
    <w:p>
      <w:r>
        <w:rPr>
          <w:b/>
        </w:rPr>
        <w:t>E. 3.4.1</w:t>
      </w:r>
    </w:p>
    <w:p>
      <w:r>
        <w:t>L’appelante relève ensuite que le montant de 19 fr. par mois correspondant à un « forfait TV » devrait être déduit du montant du loyer net de l’intimé, le portant à 1'730 fr. par mois.</w:t>
      </w:r>
    </w:p>
    <w:p>
      <w:r>
        <w:t>- 11 - Le grief est fondé. Les frais liés à la réception de la télévision sont compris dans le montant de base mensuelle, de sorte qu’ils doivent être déduits du loyer.</w:t>
      </w:r>
    </w:p>
    <w:p>
      <w:r>
        <w:rPr>
          <w:b/>
        </w:rPr>
        <w:t>E. 3.4.2</w:t>
      </w:r>
    </w:p>
    <w:p>
      <w:r>
        <w:t>Enfin, toujours concernant la charge du loyer de l’intimé, l’appelante reproche au premier juge d’avoir pris en compte un montant de 100 fr. par mois pour un garage, ainsi qu’un montant de 35 fr. par mois pour une place de parc. Or, l’intimé vivant seul, elle estime que deux places de parc ne sont pas nécessaires. L’intimé quant à lui invoque qu’il utilise son garage pour stocker certaines affaires ainsi que du matériel scientifique et qu’il y parque également un véhicule de remplacement, destiné à être utilisé lorsque son véhicule actuel ne sera plus en état de marche. En l’espèce, il est exact que le garage ne fait pas partie des charges incompressibles de l’intimé. Celui-ci étant à la retraite et vivant seul, il n’a pas besoin d’avoir deux véhicules, ni de conserver du matériel scientifique, pour acquérir un revenu. Ces dépenses n’entrent pas dans son minimum vital. Dans la situation financière serrée des parties, il n’y a pas lieu d’élargir le minimum vital de l’intimé pour tenir compte du train de vie que les parties auraient eu du temps de la vie commune, lequel n’est au demeurant pas établi. La charge de loyer doit donc être arrêtée à 1'765 fr. (1'884 fr. – 19 fr. – 100 fr.).</w:t>
      </w:r>
    </w:p>
    <w:p>
      <w:r>
        <w:rPr>
          <w:b/>
        </w:rPr>
        <w:t>E. 4.1</w:t>
      </w:r>
    </w:p>
    <w:p>
      <w:r>
        <w:t>L’intimé fait grief au premier juge de n’avoir pas tenu compte de la fortune de l’appelante. Il se fonde en particulier sur une jurisprudence (TF 5A_823/2014 du 3 février 2015 consid. 5.4) qui mentionne que si chacun des époux couvrent l’intégralité de ses frais nécessaires pour maintenir son train de vie antérieur à la séparation grâce</w:t>
      </w:r>
    </w:p>
    <w:p>
      <w:r>
        <w:t>- 12 - à sa fortune et aux revenus de celle-ci, il n’y a pas lieu à une contribution d’entretien. En l’espèce, la fortune de l’appelante selon sa déclaration d’impôt 2019, se montait à 48'970 fr. au 31 décembre 2019, à laquelle on pourrait éventuellement ajouter les 12'000 fr. invoqués dans son courrier du 1er septembre 2020 à l’administration cantonale des contributions. Toutefois, une fortune de cet ordre ne rend pas applicable en l’espèce la jurisprudence invoquée par l’intimé qui concernait des époux disposant d’une fortune de quelque douze millions de francs. Dans la situation des parties, il n’y pas lieu de demander à l’un ou l’autre des conjoints de financer son entretien par des prélèvements sur sa fortune. Le grief doit être rejeté.</w:t>
      </w:r>
    </w:p>
    <w:p>
      <w:r>
        <w:rPr>
          <w:b/>
        </w:rPr>
        <w:t>E. 4.2</w:t>
      </w:r>
    </w:p>
    <w:p>
      <w:r>
        <w:t>L’intimé relève encore qu’il avait allégué et prouvé devant le premier juge avoir des frais de loisirs de 70 fr. 80 par mois, dont le magistrat aurait dû tenir compte. Il fait valoir à titre subsidiaire que ce montant devrait être compris dans la réserve pour imprévu admis par la jurisprudence. Vu la situation financière serrée des parties, il n’y a pas lieu de prendre en compte dans leurs charges des frais de loisirs, ni – contrairement à ce que demande l’intimé – d’introduire une réserve pour imprévu. Comme le mentionne la jurisprudence, retenir de tels postes dans les situations serrées est inéquitable, puisque cela favorise unilatéralement le débiteur d’entretien (cf. ATF 127 III 68 consid. 2c, JdT 2001 I 562 ; ATF 126 III 353 consid. 1a/aa, JdT 2002 I 162 ; ATF 123 III 1 consid. 3b/bb et 5, JdT 1998 I 39). Dans le cas présent, n’étant pas établi que l’intimée disposerait d’une fortune lui permettant de s’offrir considérablement plus de vacances et de loisirs que l’intimé ne pourrait lui-même le faire en faisant appel à sa propre fortune, il n’y a pas lieu de retenir dans les charges de l’intimé les frais liés à ses cours de danse.</w:t>
      </w:r>
    </w:p>
    <w:p>
      <w:r>
        <w:t>- 13 -</w:t>
      </w:r>
    </w:p>
    <w:p>
      <w:r>
        <w:rPr>
          <w:b/>
        </w:rPr>
        <w:t>E. 4.3</w:t>
      </w:r>
    </w:p>
    <w:p>
      <w:r>
        <w:t>L’intimé fait enfin grief au premier juge d’avoir retenu sans preuve une charge de frais médicaux non remboursés de 84 fr. par mois chez l’appelante. Ce grief est fondé. Aucune pièce au dossier n’établit cette charge. Ce poste n’a pas été retenu dans le présent arrêt.</w:t>
      </w:r>
    </w:p>
    <w:p>
      <w:r>
        <w:rPr>
          <w:b/>
        </w:rPr>
        <w:t>E. 5.1</w:t>
      </w:r>
    </w:p>
    <w:p>
      <w:r>
        <w:t>Si les moyens des parties sont limités par rapport aux besoins vitaux, il n'y a pas lieu de prendre en considération les impôts courants, qui n’en font pas partie (ATF 127 III 289 consid. 2a/bb, 126 III 353 consid. 1 a/aa), ni les arriérés d'impôts (ATF 140 III 337 consid. 4.4, JdT 2015 II 227 ; TF 5A_779/2015 du 12 juillet 2016 consid. 5.2, FamPra.ch 2016 p. 976).</w:t>
      </w:r>
    </w:p>
    <w:p>
      <w:r>
        <w:rPr>
          <w:b/>
        </w:rPr>
        <w:t>E. 5.2</w:t>
      </w:r>
    </w:p>
    <w:p>
      <w:r>
        <w:t>On relèvera d’office qu’au vu de la jurisprudence susmentionnée et compte tenu de la situation financière serrée des parties, la charge fiscale courante ne doit pas être prise en compte. Il convient donc de soustraire des charges de l’appelante comme de celles de l’intimé les montants retenus par le premier juge en guise d’impôts.</w:t>
      </w:r>
    </w:p>
    <w:p>
      <w:r>
        <w:rPr>
          <w:b/>
        </w:rPr>
        <w:t>E. 6.1</w:t>
      </w:r>
    </w:p>
    <w:p>
      <w:r>
        <w:t>L’intimé réalise un revenu de 4'993 fr. et ses charges se montent à 3'467 fr. 45. Il dispose donc d’un disponible de 1'525 fr. 55.</w:t>
      </w:r>
    </w:p>
    <w:p>
      <w:r>
        <w:rPr>
          <w:b/>
        </w:rPr>
        <w:t>E. 6.2</w:t>
      </w:r>
    </w:p>
    <w:p>
      <w:r>
        <w:t>L’appelante réalise un revenu mensuel net de 2'303 fr. 25 et ses charges s’élèvent à 3'195 fr. 10. Partant, elle a un déficit de 891 fr. 85.</w:t>
      </w:r>
    </w:p>
    <w:p>
      <w:r>
        <w:rPr>
          <w:b/>
        </w:rPr>
        <w:t>E. 6.3</w:t>
      </w:r>
    </w:p>
    <w:p>
      <w:r>
        <w:t>Après couverture du déficit de l’épouse, il reste un disponible de</w:t>
      </w:r>
    </w:p>
    <w:p>
      <w:r>
        <w:t>- 14 - 633 fr. 70 (1'525 fr. 55 – 891 fr. 85), qu’il convient de répartir entre les époux. Le montant de la pension en faveur de l’appelante sera donc de 1’208 fr. 70 (891 fr. 85 + 633 fr. 70 / 2), montant arrondi à 1'210 francs.</w:t>
      </w:r>
    </w:p>
    <w:p>
      <w:r>
        <w:rPr>
          <w:b/>
        </w:rPr>
        <w:t>E. 7</w:t>
      </w:r>
    </w:p>
    <w:p>
      <w:r>
        <w:t>décembre 2010 sur l’assistance judiciaire en matière civile ; BLV 211.02.3]). Me Valérie Mérinat a produit, par courrier du 26 novembre 2020, une liste des opérations faisant état de 3 heures et 48 minutes de travail consacrées à la procédure de deuxième instance. Compte tenu des difficultés de la cause et des opérations effectuées, ce décompte peut être admis, sous réserve des 8 minutes comptées pour l’établissement de la liste des opérations. On relèvera toutefois que le temps consacré à l’examen de la décision de première instance doit normalement faire l’objet d’une provision dans la liste des opérations de première instance. Cependant, l’heure réclamée à ce titre sera en l’espèce admise dans la mesure où le temps compté pour la rédaction de l’appel apparaît plus que raisonnable. En définitive, le temps de travail admissible pour l’exécution de ce mandat est de 3 heures et 40 minutes. Au tarif horaire de 180 fr. (art. 2 al. 1 let. a RAJ), le défraiement de Me Valérie Mérinat pour ses honoraires doit ainsi être arrêté à 660 fr., montant auquel s’ajoutent les débours, par 13 fr. 20 (2 % de 660 fr.) et la TVA à 7,7 % sur le tout par 51 fr. 85, soit 725 fr. 05 au total. La bénéficiaire de l'assistance judiciaire est, dans la mesure de l'art. 123 CPC, tenue au remboursement de l'indemnité au conseil d'office provisoirement mis à la charge de l'Etat.</w:t>
      </w:r>
    </w:p>
    <w:p>
      <w:r>
        <w:rPr>
          <w:b/>
        </w:rPr>
        <w:t>E. 7.1</w:t>
      </w:r>
    </w:p>
    <w:p>
      <w:r>
        <w:t>Au vu de ce qui précède, l’appel doit être admis et l’ordonnance réformée au chiffre I de son dispositif en ce sens que le montant de la contribution d’entretien due par l’intimé en faveur de l’appelante s’élève à 1'210 fr. au lieu de 1’000 francs. L’ordonnance doit être confirmée pour le surplus.</w:t>
      </w:r>
    </w:p>
    <w:p>
      <w:r>
        <w:rPr>
          <w:b/>
        </w:rPr>
        <w:t>E. 7.2</w:t>
      </w:r>
    </w:p>
    <w:p>
      <w:r>
        <w:t>Si l’instance d’appel statue à nouveau, elle se prononce sur les frais – soit les frais judiciaires et les dépens (art. 95 al. 1 CPC) – de la première instance (art. 318 al. 3 CPC). Aucuns frais judiciaires n’étant perçus en première instance dans les procédures de mesures protectrices de l’union conjugale, il n’y a pas lieu de statuer à nouveau sur lesdits frais (art. 37 al. 3 CDPJ [Code de droit privé judiciaires vaudois ; BLV 211.02]). En première instance, l’intimé concluait à la réduction du montant de la pension mensuelle de 1'600 fr. à 790 fr. et l’appelante concluait au rejet. Vu le sort de la cause, chaque partie obtient gain de cause pour moitié, il n’y pas lieu d’allouer des dépens à l’une ou l’autre des parties. Le prononcé peut être confirmé sur ce point.</w:t>
      </w:r>
    </w:p>
    <w:p>
      <w:r>
        <w:rPr>
          <w:b/>
        </w:rPr>
        <w:t>E. 7.3</w:t>
      </w:r>
    </w:p>
    <w:p>
      <w:r>
        <w:t>Les frais judiciaires de deuxième instance, arrêtés à 600 fr. (art. 63 al. 1 et 65 al. 2 TFJC [tarif des frais judiciaires civils du 28 septembre 2010 ; BLV 270.11.5]), seront mis à la charge de l’intimé qui succombe presque entièrement (art. 106 al. 1 CPC).</w:t>
      </w:r>
    </w:p>
    <w:p>
      <w:r>
        <w:rPr>
          <w:b/>
        </w:rPr>
        <w:t>E. 7.4</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w:t>
      </w:r>
    </w:p>
    <w:p>
      <w:r>
        <w:t>- 15 - le conseil juridique ; le juge apprécie à cet égard l’étendue des opérations nécessaires à la conduite du procès (art. 2 al. 1 RAJ [règlement du</w:t>
      </w:r>
    </w:p>
    <w:p>
      <w:r>
        <w:rPr>
          <w:b/>
        </w:rPr>
        <w:t>E. 7.5</w:t>
      </w:r>
    </w:p>
    <w:p>
      <w:r>
        <w:t>Vu l’issue du litige, l’intimé versera en outre à l’appelante des dépens de deuxième instance à hauteur de 1’500 fr. (art. 9 TDC [Tarif des dépens en matière civile du 23 novembre 2010 ; BLV 270.11.6]).</w:t>
      </w:r>
    </w:p>
    <w:p>
      <w:r>
        <w:t>- 16 - Par ces motifs, le juge délégué de la Cour d’appel civile prononce : I. L’appel est admis. II. L’ordonnance est réformée comme il suit au chiffre I de son dispositif: I. astreint W.________ à contribuer à l’entretien de N.________ par le versement d’une pension mensuelle de 1’210 fr. (mille deux cent dix francs), payable d’avance le premier de chaque mois, dès et y compris le 1er septembre 2020, sous réserve des montants d’ores et déjà versés de ce chef depuis cette date ; L’ordonnance est confirmée pour le surplus. III. Les frais judiciaires de deuxième instance, arrêtés à 600 fr. (six cents francs), sont mis à la charge de l’intimé W.________. IV. L’indemnité d’office de Me Valérie Mérinat, conseil d’office de l’appelante N.________, est arrêtée à 725 fr. 05 (sept cent vingt-cinq francs et cinq centimes), débours et TVA compris. V. La bénéficiaire de l’assistance judiciaire est, dans la mesure de l’art. 123 CPC, tenue au remboursement de l’indemnité au conseil d’office provisoirement laissée à la charge de l’Etat. VI. L’intimé W.________ versera à l’appelante N.________ la somme de 1’500 fr. (mille cinq cents francs) à titre de dépens de deuxième instance. VII. L’arrêt est exécutoire.</w:t>
      </w:r>
    </w:p>
    <w:p>
      <w:r>
        <w:t>- 17 - Le juge délégué: La greffière : Du Le présent arrêt, dont la rédaction a été approuvée à huis clos, est notifié en expédition complète à : - Me Valérie Mérinat (pour N.________), - Me Adrienne Favre (pour W.________),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