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JS20.031750 vom 26. Februar 2021</w:t>
      </w:r>
    </w:p>
    <w:p>
      <w:r>
        <w:t>VD Tribunal cantonal, 2021-02-26, FR</w:t>
      </w:r>
    </w:p>
    <w:p>
      <w:r>
        <w:rPr>
          <w:b/>
        </w:rPr>
        <w:t xml:space="preserve">Quelle: </w:t>
      </w:r>
      <w:r>
        <w:t>https://mcp.opencaselaw.ch/entscheid/vd_gerichte_JS20.031750</w:t>
      </w:r>
    </w:p>
    <w:p>
      <w:r>
        <w:t>FR: VD_GERICHTE JS20.031750 du 26 février 2021</w:t>
      </w:r>
    </w:p>
    <w:p>
      <w:r>
        <w:t>IT: VD_GERICHTE JS20.031750 del 26 febbraio 2021</w:t>
      </w:r>
    </w:p>
    <w:p>
      <w:pPr>
        <w:pStyle w:val="Heading2"/>
      </w:pPr>
      <w:r>
        <w:t>Erwägungen</w:t>
      </w:r>
    </w:p>
    <w:p>
      <w:r>
        <w:rPr>
          <w:b/>
        </w:rPr>
        <w:t>E. 3</w:t>
      </w:r>
    </w:p>
    <w:p>
      <w:r>
        <w:t>et le 13 novembre 2020, elles sont recevables. Il a été tenu compte des pièces précitées dans la mesure utile.</w:t>
      </w:r>
    </w:p>
    <w:p>
      <w:r>
        <w:rPr>
          <w:b/>
        </w:rPr>
        <w:t>E. 3.1</w:t>
      </w:r>
    </w:p>
    <w:p>
      <w:r>
        <w:t>et les références citées). Pour fixer la contribution d'entretien, le juge doit en principe tenir compte du revenu effectif du débirentier. Il faut toutefois, selon les circonstances, lui imputer un revenu hypothétique correspondant à ce qu’il pourrait gagner en faisant preuve de bonne volonté et en fournissant l’effort que l’on peut raisonnablement exiger de lui afin de remplir ses obligations (ATF 143 III 233 consid. 3.2 ; ATF 137 III 102 consid. 4.2.2.2 ; ATF 128 III 4 consid. 4a). Le principe de solidarité demeurant applicable durant la procédure de mesures protectrices de l'union conjugale, un revenu hypothétique peut également être imputé à un conjoint lorsque le couple n'a pas eu d'enfant (TF 5A_782/2016 du 31 mai 2017, consid. 5.4).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 ; ATF 137 III 102 consid. 4.2.2.2 ; TF 5A_554/2017 du 20 septembre 2017 consid. 3.2 ; TF 5A_806/2016 du 22 février 2017 consid. 4.1 et les références citées). Pour arrêter le montant du salaire, le juge peut éventuellement se baser sur l'enquête suisse sur la structure des salaires, réalisée par l'Office fédéral de la statistique, ou sur d'autres sources comme les conventions collectives de travail (ATF 137 III</w:t>
      </w:r>
    </w:p>
    <w:p>
      <w:r>
        <w:t>- 14 - 118 consid. 3.2 ; TF 5A_978/2018 du 15 avril 2019 consid. 3.1), l’utilisation de telles statistiques n’étant nullement impérative, en particulier lorsqu’un revenu concrètement existant peut fournir un point de départ (TF 5A_311/2019 du 11 novembre 2020 consid. 3.2, destiné à la publication).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 TF 5A_554/2017, déjà cité, consid. 3.2 et les références citées). Il faut notamment examiner si les changements étaient prévisibles pour la partie concernée (TF 5A_184/2015 du 22 janvier 2016 consid. 3.2 ; TF 5A_224/2016 du 13 juin 2016 consid. 3.3 ; TF 5A_978/2018, déjà cité, consid. 3.1). Lorsque le débirentier exerçait déjà une activité lucrative à plein temps et assumait une obligation d'entretien préexistante, rien ne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déjà cité, consid. 5.4 ; TF 5A_692/2012 du 21 janvier 2013 consid. 4.3, in FamPra.ch. 2013 p. 486).</w:t>
      </w:r>
    </w:p>
    <w:p>
      <w:r>
        <w:rPr>
          <w:b/>
        </w:rPr>
        <w:t>E. 3.2</w:t>
      </w:r>
    </w:p>
    <w:p>
      <w:r>
        <w:t>Même lorsqu'on ne peut plus sérieusement compter sur la reprise de la vie commune, l'art. 163 CC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(cf. TF 5A_1043/2017 du 31 mai 2018 consid.</w:t>
      </w:r>
    </w:p>
    <w:p>
      <w:r>
        <w:rPr>
          <w:b/>
        </w:rPr>
        <w:t>E. 3.3</w:t>
      </w:r>
    </w:p>
    <w:p>
      <w:r>
        <w:t>En l’espèce, le premier juge, après avoir rappelé que l’appelant avait débuté un nouvel emploi le 24 septembre 2020, a considéré que le salaire perçu dans le cadre de cette activité était vraisemblablement similaire à celui qu’il percevait auprès d’[...], si bien qu’il se justifiait de tenir compte d’un salaire mensuel de 4’860 fr. 40 net chez l’appelant, correspondant aux revenus mensuels perçus par celui-ci en 2019. On l’a vu, l’’appelant n’a finalement pas débuté cette nouvelle activité et le contrat de travail qui le liait à son ancien employeur a pris fin</w:t>
      </w:r>
    </w:p>
    <w:p>
      <w:r>
        <w:t>- 15 - avec effet au 31 octobre 2020. Il était, au jour de l’audience d’appel du 11 décembre 2020, dans l’attente d’une décision de l’assurance-chômage sur sa demande d’indemnités journalières. Cela étant, il ne se justifie pas de se fonder sur le montant des indemnités journalières hypothétiquement versées par l’assurance sociale susmentionnée pour arrêter sa capacité contributive, comme on le verra ci-après. Lorsque son contrat de travail est arrivé à échéance, l’appelant disposait d’une pleine capacité de gain. Les éléments au dossier permettent en effet de retenir, au stade la vraisemblance, que l’appelant est capable de travailler depuis le 1er septembre 2020. Il en va ainsi du fait que l’assurance-accident a cessé de verser des indemnités journalières à l’appelant avec effet au 30 août 2020, tout comme du fait que l’appelant a, lors l’audience du 11 septembre 2020, indiqué au premier juge qu’il débuterait une nouvelle activité professionnelle le 24 septembre 2020. L’intéressé, qui n’a pas produit la moindre pièce relativement à son état de santé, ne prétend du reste pas qu’il aurait été incapable de travailler après le 30 août 2020. Compte tenu de ce qui précède et du fait que l’appelant, âgé de 42 ans, a vraisemblablement toujours travaillé à plein temps et dispose d’une expérience professionnelle de plusieurs années, on peut raisonnablement exiger de lui qu’il exerce une activité lucrative à 100 % dans son domaine de compétence. Partant, les conditions en droit de l’imputation d’un revenu hypothétique à l’appelant sont réalisées. Au vu de ce qui précède, il s’agit d’examiner si l’appelant a la possibilité effective d’exercer une telle activité et le revenu qu’il peut en retirer, compte tenu des circonstances subjectives du cas d’espèce, ainsi que du marché actuel du travail. A la fin de sa période d’incapacité de travail, une opportunité professionnelle s’est vraisemblablement rapidement présentée à l’appelant, comme il l’a annoncé au premier juge lors de l’audience du 11 septembre 2020. La nouvelle activité annoncée n’a toutefois jamais été débutée, sans que l’on sache si cette circonstance est survenue indépendamment de la volonté de l’appelant, faute pour celui-ci d’avoir fourni la moindre explication à cet égard. Alors qu’il savait que son contrat de travail prendrait prochainement fin, compte tenu du</w:t>
      </w:r>
    </w:p>
    <w:p>
      <w:r>
        <w:t>- 16 - licenciement qui lui avait été signifié le 27 janvier 2020 et de la fin de son incapacité de travail, il appert du dossier que l’appelant n’a pas effectué la moindre recherche de travail lorsque la prise d’emploi prévue pour le 24 septembre 2020 ne s’est pas concrétisée, le contraire n’étant ni allégué ni a fortiori rendu vraisemblable par l’appelant. Or, il incombait à l’appelant de procéder à de telles recherches, conformément au principe de solidarité entre époux et selon la convention des conjoints, l’appelant ayant toujours pleinement mis sa capacité contributive à contribution du temps de la vie commune des parties. L’attitude passive de l’appelant est d’autant moins justifiable que l’ordonnance entreprise, par laquelle il a été astreint à contribuer à l’entretien de son épouse à compter du 1er décembre 2020 et qu’il ne conteste que sous l’angle de son absence de revenus suffisants, lui a été notifiée dans le courant du mois d’octobre. Ce nonobstant, l’appelant s’est borné à déposer, le 13 novembre 2020, une demande d’indemnités journalières de l’assurance-chômage auprès de l’ORP. La possibilité effective pour l’appelant de trouver un emploi à temps plein dans son domaine de compétence, pour un salaire équivalent à celui qu’il percevait auprès de son ancien employeur, doit ainsi être retenue à ce stade, l’appelant n’alléguant au demeurant pas le contraire. Il se justifie ainsi d’imputer à l’appelant un revenu hypothétique équivalent au salaire qu’il touchait précédemment. S’agissant de la quotité de ce salaire, l’appelante ne saurait être suivie lorsqu’elle prétend, on se fondant sur le certificat de salaire 2019 de l’appelant, qu’il n’était pas inférieur à 5'220 fr. 40. L’appelante perd en effet de vue que le salaire net indiqué sur la pièce précitée comprend les allocations de formation que l’appelant percevait pour E.________ à hauteur de 360 fr. par mois, comme relevé à juste titre par le premier juge. Le versement des indemnités précitées en mains de l’appelant est d’ailleurs étayé par les fiches de salaire au dossier. C’est donc sans prêter le flanc à la critique que le premier juge a arrêté le salaire mensuel net de l’appelant à 4'860 fr. 40. Ce montant correspond du reste, à très peu de choses près, au salaire mensuel net de 4'800 fr. calculé selon le salaire brut et les déductions sociales indiqués sur les fiches de salaire de l’appelant (cf. supra let. C/4/b). Le fait que celui-ci ait parfois perçu des montants plus</w:t>
      </w:r>
    </w:p>
    <w:p>
      <w:r>
        <w:t>- 17 - élevés de la part de son ancien employeur n’est pas déterminant, dès lors que celui-ci lui versait régulièrement des avances sur salaire d’un montant variable et qu’il lui est arrivé de reverser les indemnités journalières relatives à plusieurs mois en une fois, de même qu’il a reversé des arriérés d’indemnités journalières perte de gain maladie afférentes au mois de décembre 2019 avec le salaire du mois de mai 2020 de l’appelant. C’est dire que la quotité des versements effectués par l’ancien employeur de l’appelant ne permet pas de mettre en doute la valeur probante du certificat de salaire 2019, ainsi que des fiches de salaire produites en tant qu’elles attestent du salaire brut contractuel de l’appelant et de la quotité des charges sociales, ce d’autant plus que les informations ressortant de ces pièces sont concordantes. Il convient en définitive de se fonder, à l’instar du premier juge, sur son certificat de salaire 2019, soit la pièce la plus complète et représentative dont on dispose à cet égard, pour arrêter le salaire perçu par l’appelant dans son ancienne activité. Le revenu hypothétique peut ainsi être arrêté à 4'860 fr., en chiffres ronds, à compter du 1er décembre 2020, date à laquelle le versement des indemnités journalières, servies à bien plaire à titre de période transitoire par l’assurance perte de gain de son ancien employeur, a cessé. En effet, comme d’ores et déjà relevé, l’appelant, qui se savait partie à une procédure dans laquelle le paiement d’une pension alimentaire lui était réclamé, et à qui une décision l’astreignant au versement d’une telle pension à compter du 1er décembre 2020 avait été notifiée, n’allègue même pas avoir effectué la moindre recherche d’emploi alors que sa baisse de revenus à venir lui était connue, son licenciement lui ayant été signifié le 27 janvier 2020. Or, il n’appartient pas à son épouse d’assumer le fait qu’il n’ait rien mis en œuvre pour pouvoir continuer à se conformer à la convention des époux. L’imputation d’un revenu hypothétique à compter du 1er décembre 2020 est d’autant plus justifiée que l’appelant a bénéficié d’un délai d’adaptation entre le 1er septembre et le 30 novembre 2020, pour s’adapter au changement – connu de lui – à venir de sa situation financière, un tel délai de trois mois étant raisonnable s’agissant d’une personne jusque-là insérée à plein temps sur le marché du travail.</w:t>
      </w:r>
    </w:p>
    <w:p>
      <w:r>
        <w:t>- 18 -</w:t>
      </w:r>
    </w:p>
    <w:p>
      <w:r>
        <w:rPr>
          <w:b/>
        </w:rPr>
        <w:t>E. 4.1</w:t>
      </w:r>
    </w:p>
    <w:p>
      <w:r>
        <w:t>S’agissant des charges retenues de part et d’autre par le premier juge, l'appelante lui reproche de s’être limité, en ce qui concerne ses propres charges, à y inclure les frais médicaux assurés, en omettant de tenir compte des frais non-assurés demeurant à sa charge. Elle fait en outre grief à l’autorité précédente d’avoir arrêté le montant de ses frais de repas pris hors du domicile en tenant compte du fait qu’elle emportait la moitié de ses repas depuis chez elle. Par ailleurs, l’appelante conteste certains postes inclus par le premier juge dans le budget mensuel de son époux. Elle fait valoir qu’aucuns frais de transport – et encore moins liés à l’utilisation d’un véhicule – ni de repas ne sauraient être portés aux charge de l’appelant, dès lors que celui-ci est actuellement sans emploi. Ce serait enfin à tort qu’un montant mensuel de 160 fr. a été inclus dans les charges de l’appelant à titre de contributions d’entretien pour ses enfants domiciliés en [...], faute pour cette dépense d’être suffisamment établie. L’appelant fait pour sa part valoir qu’il convient de tenir compte du loyer de 1'510 fr. dont il s’acquitte depuis le 1er décembre 2020 en lieu et place du loyer hypothétique de 1'325 fr. par mois retenu par le premier juge.</w:t>
      </w:r>
    </w:p>
    <w:p>
      <w:r>
        <w:rPr>
          <w:b/>
        </w:rPr>
        <w:t>E. 4.2.1</w:t>
      </w:r>
    </w:p>
    <w:p>
      <w:r>
        <w:t>La méthode du minimum vital avec répartition de l’excédent (« zweistufige Methode mit Überschussverteilung ») est applicable lorsque, comme en l’espèce, les époux ne réalisaient pas d'économies durant la vie commune ou qu'en raison des frais supplémentaires liés à l'existence de deux ménages séparés et de nouvelles charges, le revenu est entièrement absorbé par l'entretien courant (ATF 140 III 337 consid. 4.2.2 et les références citées).</w:t>
      </w:r>
    </w:p>
    <w:p>
      <w:r>
        <w:rPr>
          <w:b/>
        </w:rPr>
        <w:t>E. 4.2.2</w:t>
      </w:r>
    </w:p>
    <w:p>
      <w:r>
        <w:t>Selon cette méthode, les besoins des parties sont déterminés en prenant, comme point de départ, le minimum vital du droit des poursuites, les Lignes directrices pour le calcul du minimum vital du droit</w:t>
      </w:r>
    </w:p>
    <w:p>
      <w:r>
        <w:t>- 19 - des poursuites selon l’art. 93 LP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Les Lignes directrices prévoient notamment comme suppléments au montant de base mensuel le loyer, pour autant qu’il ne soit pas disproportionné par rapport à la situation économique et personnelle du débiteur, les cotisations sociales non déjà déduites du salaire (par exemple les primes d’assurance-maladie obligatoire), les dépenses indispensables à l’exercice d’une profession (notamment les frais liés aux repas pris hors du domicile à hauteur de 9 à 11 fr. par jour et les frais de déplacement jusqu’au lieu de travail), et les pensions alimentaires dues en vertu de la loi. La part non-couverte des frais médicaux et la franchise sont pris en compte dans le minimum vital strict s’ils sont liés à des traitements ordinaires, réguliers et nécessaires (ATF 129 III 242 consid. 4 ; TF 5A_991/2014 du 27 mai 2014 consid. 2.1 et 2.2). S’agissant des frais de déplacement indispensables pour se rendre sur le lieu de l’activité professionnelle, les coûts liés à l’usage d’un véhicule automobile doivent être pris en compte lorsque son utilisation est rendue nécessaire par les horaires de travail, l’état de santé de l’intéressé ou la présence de plusieurs enfants à transporter (TF 5P.238/2005 du 28 novembre 2005 consid. 4.2.2).</w:t>
      </w:r>
    </w:p>
    <w:p>
      <w:r>
        <w:rPr>
          <w:b/>
        </w:rPr>
        <w:t>E. 4.2.3</w:t>
      </w:r>
    </w:p>
    <w:p>
      <w:r>
        <w:t>Si la situation le permet, il y a lieu d’affecter les ressources restantes à la satisfaction de besoin élargis, pour couvrir le minimum vital du droit de la famille des intéressés (ATF 144 III 377 consid. 7.1.4 ; TF 5A_450/2020 du 4 janvier 2021 consid. 4.3 ; TF 5A_727/2018 du 22 août 2019 consid. 2.3 ; TF 5A_963/2018 du 23 mai 2019 consid. 3.3.1, in FamPra.ch 2019 p. 991). Appartiennent typiquement au minimum vital du</w:t>
      </w:r>
    </w:p>
    <w:p>
      <w:r>
        <w:t>- 20 - droit de la famille les impôts, les frais de logement correspondant à la situation réelle plutôt qu’au minimum vital du droit des poursuites, ou encore les primes relatives à des assurances complémentaires (TF 5A_311/2019, déjà cité, consid. 7.2 et les références citées). Entrent également dans le minimum vital du droit de la famille les prestations financières versées à des tiers autres que des contributions d’entretien dues à des enfants mineurs, non fondées sur un jugement mais régulières, à condition qu’elles soient nécessaires (TF 5C.53/2005 du 31 mai 2005 consid. 5.3). Par ailleurs, la règle selon laquelle les frais de véhicule ne peuvent être pris en considération que si celui-ci est indispensable au débiteur, à titre personnel ou pour l’exercice de la profession, ne vaut que lorsqu’on s’en tient au minimum vital du droit des poursuites (TF 5A_703/2011 du 7 mars 2012 consid. 4.2 et la référence citée).</w:t>
      </w:r>
    </w:p>
    <w:p>
      <w:r>
        <w:rPr>
          <w:b/>
        </w:rPr>
        <w:t>E. 4.2.4</w:t>
      </w:r>
    </w:p>
    <w:p>
      <w:r>
        <w:t>Un éventuel excédent est en règle générale réparti, en l’absence d’enfants (cf. TF 5A_311/2019, déjà cité, consid. 7.3), par moitié entre les époux (ATF 121 I 97 consid. 3b ; ATF 114 II 26 consid. 7 ; TF 5A_787/2016 du 12 janvier 2017 consid. 4.2.1), à moins que des circonstances importantes ne justifient de s'en écarter (ATF 119 II 314 consid. 4b/bb ; TF 5A_1029/2015 du 1er juin 2016 consid. 3.3.1.2).</w:t>
      </w:r>
    </w:p>
    <w:p>
      <w:r>
        <w:rPr>
          <w:b/>
        </w:rPr>
        <w:t>E. 4.3.1</w:t>
      </w:r>
    </w:p>
    <w:p>
      <w:r>
        <w:t>S’agissant des frais de repas de l’appelante, le premier juge a tenu compte d’un montant de 108 fr. 50 par mois, soit la moitié du montant correspondant à une indemnisation desdits frais à hauteur de 10 fr. par jour travaillé ((10 fr. x 21.7 jours) /2). Il s’est fondé sur les propres déclarations de l’intéressée, laquelle a indiqué emporter une partie des repas pris hors du domicile depuis chez elle. L’appelante ne conteste pas emporter certains de ses repas depuis chez elle. Contrairement à ce qu’elle soutient, les frais de repas occasionnés par l’exercice d’une activité professionnelle ne donnent pas lieu à un supplément par jour de travail sans autre considération, seules les dépenses effectives pouvant être prises en compte dans le calcul du minimum vital et ce, pour autant qu’elles soient rendues vraisemblables.</w:t>
      </w:r>
    </w:p>
    <w:p>
      <w:r>
        <w:t>- 21 - C’est ainsi à bon droit que le premier juge a retenu, au stade de la vraisemblance et faute d’indications plus précises quant au nombre de repas concernés, que l’appelante emportait la moitié de ses repas depuis chez elle. Le raisonnement du premier juge peut être suivi, ce d’autant plus qu’il a également été appliqué pour établir les charges de l’appelant.</w:t>
      </w:r>
    </w:p>
    <w:p>
      <w:r>
        <w:rPr>
          <w:b/>
        </w:rPr>
        <w:t>E. 4.3.2</w:t>
      </w:r>
    </w:p>
    <w:p>
      <w:r>
        <w:t>En ce qui concerne les frais médicaux de C.I.________, le premier juge a inclus un montant mensuel de 12 fr. 10 à ce titre dans son budget mensuel, correspondant aux frais médicaux assurés demeurés à la charge de l’appelante en 2019. La critique soulevée par l’appelante relativement aux frais médicaux retenus par le premier juge est fondée. On ne voit en effet pas pourquoi les frais médicaux non-assurés, dont le paiement est établi, ne seraient pas pris en compte. Partant, les frais médicaux non-assurés de l’appelante, lesquels se sont montés à 27 fr. 70 en 2019, ont été ajoutés aux 12 fr. 10 retenus par le premier juge, portant le total de ses frais médicaux à 39 fr. 80 par mois.</w:t>
      </w:r>
    </w:p>
    <w:p>
      <w:r>
        <w:rPr>
          <w:b/>
        </w:rPr>
        <w:t>E. 4.3.3</w:t>
      </w:r>
    </w:p>
    <w:p>
      <w:r>
        <w:t>S’agissant de l’appelant, le premier juge a inclus des frais mensuels de repas de 108 fr. 50 ainsi que de frais de déplacement sur le lieu de travail, fondés sur les coûts liés à l’usage de sa voiture, de 638 fr. 80 par mois dans ses charges. L’autorité précédente a procédé de la sorte au motif que l’appelant débuterait une nouvelle activité professionnelle le 24 septembre 2020 à quelque vingt-cinq kilomètres de son domicile. On l’a vu, l’appelant n’a, pour une raison inconnue, finalement pas débuté l’activité précitée. Cela étant, la prise en compte des frais d’acquisition du revenu contestés n’en est pas moins justifiée, dès lors qu’un revenu hypothétique a été imputé à l’appelant et qu’il convient en pareil cas de tenir compte des frais de transport et de repas hypothétiques qui seront nécessaires à l’acquisition de ce revenu (CACI 8 janvier 2021/10 consid. 9.4 et 9.5). La situation des parties permettant de couvrir leur minimum vital élargi, la question de savoir si une voiture est indispensable à l’appelant pour l'acquisition de son revenu n’a pas à être</w:t>
      </w:r>
    </w:p>
    <w:p>
      <w:r>
        <w:t>- 22 - examinée. Il s’ensuit que la prise en compte des frais d’acquisition du revenu querellés doit être confirmée, dans la quotité non contestée retenue par le premier juge.</w:t>
      </w:r>
    </w:p>
    <w:p>
      <w:r>
        <w:rPr>
          <w:b/>
        </w:rPr>
        <w:t>E. 4.3.4</w:t>
      </w:r>
    </w:p>
    <w:p>
      <w:r>
        <w:t>Pour ce qui est des contributions d’entretien prétendument dues par l’appelant pour l’entretien de ses enfants domiciliés en [...], le jugement a arrêté les frais mensuels y relatifs sur la base des versements faits en 2020 à une certaine [...]. On ne sait toutefois rien de la bénéficiaire de ces versements (cf. supra let. C/4/b) effectués par l’appelant. Le simple fait que celle-ci vive en [...] ne suffit en particulier pas à rendre vraisemblable qu’elle est la mère des enfants de l’appelant. Il apparait en outre que les versements en question, au montant variable, ne sont pas effectués de façon régulière par l’appelant. Or, seules les charges régulières, effectives et réellement acquittées sont prises en considération (TF 5A_608/2014 du 16 décembre 2014 consid. 4.1 ; TF 5A_365/2014 du 25 juillet 2014 consid. 3.1), ce même dans le cadre du minimum de droit de la famille. Par ailleurs, l’appelant n’a produit aucune pièce attestant de son obligation de contribuer à l’entretien de ses enfants ni du montant des pensions éventuellement due, ce qu’il lui incombait pourtant de faire s’il souhaitait qu’une telle charge soit incluse dans son minimum vital, l’art. 296 al. 1 CPC ne trouvant pas application ici (cf. Juge délégué CACI 2 mars 2020/103 consid. 2.3.2). Il s’ensuit que la critique de l’appelante est bien fondée sur ce point.</w:t>
      </w:r>
    </w:p>
    <w:p>
      <w:r>
        <w:rPr>
          <w:b/>
        </w:rPr>
        <w:t>E. 4.3.5</w:t>
      </w:r>
    </w:p>
    <w:p>
      <w:r>
        <w:t>Il convient enfin de tenir compte du loyer effectif de l’appartement pris à bail par l’appelant depuis le 1er décembre 2020, ce que l’appelante ne conteste du reste pas.</w:t>
      </w:r>
    </w:p>
    <w:p>
      <w:r>
        <w:rPr>
          <w:b/>
        </w:rPr>
        <w:t>E. 5</w:t>
      </w:r>
    </w:p>
    <w:p>
      <w:r>
        <w:t>Pour le surplus, les revenus de l’appelante, tout comme les autres charges retenues de part et d’autre par le premier juge, ne sont pas contestées.</w:t>
      </w:r>
    </w:p>
    <w:p>
      <w:r>
        <w:t>- 23 - Après couverture de son minimum vital, il reste à l’appelant un disponible de 411 fr. 95 (4'860 fr. - 4'448 fr. 05), lequel doit être consacré au comblement du déficit mensuel de 359 fr. 25 (3'596 fr. 60 - 3'955 fr. 85) de l’appelante, l’excédent de 52 fr. 70 pouvant être réparti par moitié entre les parties, ce qui porte le montant de la contribution d’entretien due à l’appelante par son époux à 385 fr. 60 par mois, arrondis à 380 fr., comme retenu par le premier juge. Le dies a quo arrêté au 1er décembre 2020 n’étant pas contesté, il peut être confirmé. Il s’ensuit que les appels doivent être rejetés et l’ordonnance confirmée.</w:t>
      </w:r>
    </w:p>
    <w:p>
      <w:r>
        <w:rPr>
          <w:b/>
        </w:rPr>
        <w:t>E. 6.1</w:t>
      </w:r>
    </w:p>
    <w:p>
      <w:r>
        <w:t>Les frais relatifs à l’appel de C.I.________, arrêtés à 771 fr. 40, soit 600 fr. d’émolument judiciaire (art. 65 al. 2 TFJC [tarif des frais judiciaires civils du 28 septembre 2010 ; BLV 270.11.5]) et 171 fr. 40 à titre de frais d’interprète (art. 91 TFJC), seront supportés par la susnommée, qui succombe (art. 106 al. 1 CPC). L’appelant B.I.________, qui succombe également, supportera les frais relatifs à son appel, arrêtés à 600 fr. (art. 65 al. 2 TFJC). Il n’y a pas lieu à l’allocation de dépens de deuxième instance, aucune partie n’obtenant gain de cause. Les parties étant au bénéfice de l’assistance judiciaire, les frais précités seront provisoirement laissés à la charge de l’Etat (art. 122 al. 1 let. b CPC).</w:t>
      </w:r>
    </w:p>
    <w:p>
      <w:r>
        <w:rPr>
          <w:b/>
        </w:rPr>
        <w:t>E. 6.2.1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t>- 24 -</w:t>
      </w:r>
    </w:p>
    <w:p>
      <w:r>
        <w:rPr>
          <w:b/>
        </w:rPr>
        <w:t>E. 6.2.2</w:t>
      </w:r>
    </w:p>
    <w:p>
      <w:r>
        <w:t>Me Jean-Lou Maury, conseil d’office de l’appelante, a indiqué dans sa liste des opérations avoir consacré 15 heures et 55 minutes au dossier, audience d'appel incluse, auxquelles s'ajoutent des débours, par 64 fr. 30, plus 120 fr. forfaitaires à titre d’indemnité de déplacement (art. 3bis al. 3 RAJ). Les opérations annoncées peuvent être admises ; en revanche, le montant des débours doit être réduit à 2 % du défraiement hors taxe (art. 3bis al. 1 RAJ). Il s'ensuit qu'au tarif horaire de 180 fr., l'indemnité de Me Maury doit être fixée à 2’865 fr., montant auquel s'ajoutent les débours par 177 fr. 30 ((2 % x 2'865 fr.) + 120 fr.) et la TVA sur le tout par 234 fr. 25, soit 3'276 fr. 55 au total.</w:t>
      </w:r>
    </w:p>
    <w:p>
      <w:r>
        <w:rPr>
          <w:b/>
        </w:rPr>
        <w:t>E. 6.2.3</w:t>
      </w:r>
    </w:p>
    <w:p>
      <w:r>
        <w:t>Me Jonathan Rey, conseil d'office de l'appelant, a indiqué dans sa liste des opérations avoir consacré 14 heures et 12 minutes au dossier, audience d'appel incluse, auxquelles s'ajoutent des débours, par 127 fr. 80, plus 120 fr. forfaitaires à titre de vacation (art. 3bis al. 3 RAJ [règlement sur l'assistance judiciaire en matière civile du 7 décembre 2010 ; BLV 211.02.3]). Si les opérations annoncées peuvent être admises, le montant des débours doit être réduit à 2 % du défraiement hors taxe (art. 3bis al. 1 RAJ). Il s'ensuit qu'au tarif horaire de 180 fr., l'indemnité de Me Rey doit être fixée à 2'556 fr., montant auquel s'ajoutent les débours par 171 fr. 10 ((2 % x 2'556 fr.) + 120 fr.) et la TVA sur le tout par 210 fr., soit 2'937 fr. 10 au total.</w:t>
      </w:r>
    </w:p>
    <w:p>
      <w:r>
        <w:rPr>
          <w:b/>
        </w:rPr>
        <w:t>E. 6.3</w:t>
      </w:r>
    </w:p>
    <w:p>
      <w:r>
        <w:t>Les parties, bénéficiaires de l’assistance judiciaire, sont, dans la mesure de l’art. 123 CPC, tenues au remboursement des frais judiciaires et des indemnités à leurs conseils d’office respectifs provisoirement laissés à la charge de l’Etat.</w:t>
      </w:r>
    </w:p>
    <w:p>
      <w:r>
        <w:t>- 25 - Par ces motifs, le Juge délégué de la Cour d’appel civile prononce : I. L’appel de C.I.________ est rejeté. II. L’appel de B.I.________ est rejeté. III. L’ordonnance est confirmée. IV. Les frais judiciaires de deuxième instance, arrêtés à 771 fr. 40 (sept cent septante et un francs et quarante centimes) pour l’appelante C.I.________ et à 600 fr. (six cents francs) pour l’appelant B.I.________, sont provisoirement laissés à la charge de l’Etat. V. Il n’y a pas lieu à l’allocation de dépens de deuxième instance. VI. L’indemnité de Me Jean-Lou Maury, conseil d’office de l’appelante C.I.________, est arrêtée à 3'276 fr. 55 (trois mille deux cent septante-six francs et cinquante-cinq centimes), débours et TVA compris. VII. L’indemnité de Me Jonathan Rey, conseil d’office de l’appelant B.I.________, est arrêtée à 2'937 fr. 10 (deux mille neuf cent trente-sept francs et dix centimes), débours et TVA compris. VIII. Les bénéficiaires de l’assistance judiciaire, sont, dans la mesure de l’art. 123 CPC, tenus au remboursement des frais judiciaires et des indemnités allouées à leurs conseils d’office respectifs, provisoirement laissés à la charge de l’Etat. IX. L’arrêt est exécutoire.</w:t>
      </w:r>
    </w:p>
    <w:p>
      <w:r>
        <w:t>- 26 - Le juge délégué : La greffière : Du Le présent arrêt, dont la rédaction a été approuvée à huis clos, est notifié en expédition complète à : - Me Jean-Lou Maury (pour C.I.________), - Me Jonathan Rey (pour B.I.________),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