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JS20.028828 vom 5. Oktober 2021</w:t>
      </w:r>
    </w:p>
    <w:p>
      <w:r>
        <w:t>VD Tribunal cantonal, 2021-10-05, FR</w:t>
      </w:r>
    </w:p>
    <w:p>
      <w:r>
        <w:rPr>
          <w:b/>
        </w:rPr>
        <w:t xml:space="preserve">Quelle: </w:t>
      </w:r>
      <w:r>
        <w:t>https://mcp.opencaselaw.ch/entscheid/vd_gerichte_JS20.028828</w:t>
      </w:r>
    </w:p>
    <w:p>
      <w:r>
        <w:t>FR: VD_GERICHTE JS20.028828 du 5 octobre 2021</w:t>
      </w:r>
    </w:p>
    <w:p>
      <w:r>
        <w:t>IT: VD_GERICHTE JS20.028828 del 5 ottobre 2021</w:t>
      </w:r>
    </w:p>
    <w:p>
      <w:pPr>
        <w:pStyle w:val="Heading2"/>
      </w:pPr>
      <w:r>
        <w:t>Erwägungen</w:t>
      </w:r>
    </w:p>
    <w:p>
      <w:r>
        <w:rPr>
          <w:b/>
        </w:rPr>
        <w:t>E. 14</w:t>
      </w:r>
    </w:p>
    <w:p>
      <w:r>
        <w:t>avril 2021 est réformée aux chiffres II, III, IV, V, VI, IX et XII de son dispositif comme il suit : II. dit que le lieu de résidence de l’enfant F.C.________, né le [...] 2017, est fixé au domicile du père, qui en exerce la garde de fait ; III. dit que B.C.________ bénéficiera d’un libre et large droit de visite sur son fils F.C.________, droit de visite qui, à défaut d’entente, sera exercé un week-end sur deux, du vendredi soir de la sortie de l’école au dimanche soir, durant la moitié des vacances scolaires et alternativement à Noël/Nouvel an, Pâques/Pentecôte et Ascension/Jeûne fédéral ; IV. supprimé ;</w:t>
      </w:r>
    </w:p>
    <w:p>
      <w:r>
        <w:t>- 66 - V. dit qu’aucune contribution d’entretien ne sera versée en faveur de F.C.________ par B.C.________, celle-ci devant verser à D.C.________ d’éventuelles allocations familiales qu’elle percevrait pour l’enfant F.C.________ ; VI. supprimé ; IX. supprimé ; XII. dit que B.C.________ versera à D.C.________ la somme de 2'000 fr. (deux mille francs) à titre de dépens ; Les chiffres I, VII, VIII, X, XI, XIII et XIV sont maintenus. IV. L’ordonnance de mesures provisionnelles du 16 juillet 2021 est réformée aux chiffres II et III de son dispositif comme il suit : II. supprimé ; III. dit que B.C.________ exercera son droit de visite sur son fils F.C.________, né le [...] 2017, conformément au chiffre III.III ci-dessus du dispositif de l’ordonnance de mesures protectrices de l’union conjugale du 14 avril 2021 réformée ; Les chiffres I, IV, V, VI, VII, VIII, IX et X sont maintenus. V. D.C.________ versera à B.C.________ la somme de 7'700 fr. (sept mille sept cents francs) à titre de provisio ad litem pour la procédure de deuxième instance. VI. Les frais judiciaires de deuxième instance, arrêtés à 2'200 fr. (deux mille deux cents francs), sont mis à la charge de l’appelante B.C.________ par 1'760 fr. (mille sept cent soixante francs) et à la charge de l’appelant D.C.________ par 440 fr. (quatre cent quarante francs). VII. B.C.________ versera à D.C.________ la somme de 760 fr. (sept cents soixante francs) à titre de restitution d’avance de frais</w:t>
      </w:r>
    </w:p>
    <w:p>
      <w:r>
        <w:t>- 67 - judiciaires de deuxième instance et la somme de 4'000 fr. (quatre mille francs) à titre de dépens de deuxième instance. VIII. L’arrêt est exécutoire. Le juge délégué : La greffière : Du Le présent arrêt, dont la rédaction a été approuvée à huis clos, est notifié en expédition complète à : - Me Donia Rostane, av. (pour B.C.________), - Me Matthieu Genillod, av. (pour D.C.________),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- 68 -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