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JS20.003675 vom 17. August 2020</w:t>
      </w:r>
    </w:p>
    <w:p>
      <w:r>
        <w:t>VD Tribunal cantonal, 2020-08-17, FR</w:t>
      </w:r>
    </w:p>
    <w:p>
      <w:r>
        <w:rPr>
          <w:b/>
        </w:rPr>
        <w:t xml:space="preserve">Quelle: </w:t>
      </w:r>
      <w:r>
        <w:t>https://mcp.opencaselaw.ch/entscheid/vd_gerichte_JS20.003675</w:t>
      </w:r>
    </w:p>
    <w:p>
      <w:r>
        <w:t>FR: VD_GERICHTE JS20.003675 du 17 août 2020</w:t>
      </w:r>
    </w:p>
    <w:p>
      <w:r>
        <w:t>IT: VD_GERICHTE JS20.003675 del 17 agosto 2020</w:t>
      </w:r>
    </w:p>
    <w:p>
      <w:pPr>
        <w:pStyle w:val="Heading2"/>
      </w:pPr>
      <w:r>
        <w:t>Erwägungen</w:t>
      </w:r>
    </w:p>
    <w:p>
      <w:r>
        <w:rPr>
          <w:b/>
        </w:rPr>
        <w:t>E. 4.1</w:t>
      </w:r>
    </w:p>
    <w:p>
      <w:r>
        <w:t>L’appelant requiert en outre de manière autonome – soit même pour le cas où la garde de l’enfant ne lui serait pas attribuée – que la contribution d’entretien qu’il doit en faveur de l’intimée soit supprimée avec effet au 1er janvier 2020 et que la contribution d’entretien due en faveur de G.________ soit réduite à 1’940 fr. 65 par mois. Il reproche en substance au premier juge d’avoir nié l’existence de faits nouveaux commandant de procéder à une modification</w:t>
      </w:r>
    </w:p>
    <w:p>
      <w:r>
        <w:t>- 23 - des contributions d’entretien allouées selon l’ordonnance de mesures protectrices de l’union conjugale du 16 mai 2019. A cet égard, il soutient que l’augmentation de son loyer, consécutive à son déménagement dans un appartement à Gland au mois d’octobre 2019, constituerait un tel fait nouveau, de sorte qu’il conviendrait de réexaminer en totalité la situation financière des parties et d’effectuer un nouveau calcul des montants des contributions d’entretien litigieuses. L’appelant fait valoir qu’au vu de la situation économique favorable des parties, il y aurait lieu d’appliquer, dans le cadre de ce réexamen, la méthode du train de vie et non la méthode du minimum vital élargi, appliquée selon lui à tort dans l’ordonnance du 16 mai 2019.</w:t>
      </w:r>
    </w:p>
    <w:p>
      <w:r>
        <w:rPr>
          <w:b/>
        </w:rPr>
        <w:t>E. 4.2.1</w:t>
      </w:r>
    </w:p>
    <w:p>
      <w:r>
        <w:t>Comme déjà indiqué,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Ces mesures ne peuvent ainsi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(cf. les références jurisprudentielles déjà citées au consid. 3.2.1 ci-dessus).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 TF 5A_400/2012 du 25 février 2013 consid. 4.1 et les références citées ; TF 5A_153/2013 du 24 juillet 2013 consid. 2.1 ; TF 5A_245/2013 du</w:t>
      </w:r>
    </w:p>
    <w:p>
      <w:r>
        <w:t>- 24 - 24 septembre 2013 consid. 3.1 ; TF 5A_15/2014 du 28 juillet 2014 consid. 3), car la procédure de modification n'a pas pour but de corriger le premier jugement, mais de l'adapter aux circonstances nouvelles (TF 5A_33/2015 du 28 avril 2015 consid. 4.1 ; TF 5A_151/2016 du 27 avril 2016 consid. 3.1 ; TF 5A_329/2016 du</w:t>
      </w:r>
    </w:p>
    <w:p>
      <w:r>
        <w:rPr>
          <w:b/>
        </w:rPr>
        <w:t>E. 4.2.2</w:t>
      </w:r>
    </w:p>
    <w:p>
      <w:r>
        <w:t>Le fait revêt un caractère nouveau lorsqu'il n'a pas été pris en considération pour fixer la contribution d'entretien dans le jugement précédent (ATF 137 III 604 consid. 4.1.1 ; ATF 131 III 189 consid. 2.7.4 ; TF 5A_829/2012 du</w:t>
      </w:r>
    </w:p>
    <w:p>
      <w:r>
        <w:rPr>
          <w:b/>
        </w:rPr>
        <w:t>E. 4.2.3</w:t>
      </w:r>
    </w:p>
    <w:p>
      <w:r>
        <w:t>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consid. 4.1 ; ATF 138 III 289 consid. 11.1.1). En ce qui concerne la modification de la contribution d'entretien due à un enfant,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w:t>
      </w:r>
    </w:p>
    <w:p>
      <w:r>
        <w:rPr>
          <w:b/>
        </w:rPr>
        <w:t>E. 4.3.1</w:t>
      </w:r>
    </w:p>
    <w:p>
      <w:r>
        <w:t>Le premier juge a relevé que l’augmentation de loyer de l’appelant depuis le mois d’octobre 2019 pourrait certes être prise en considération pour réactualiser les calculs des contributions d’entretien litigieuses, comme le prévoyait l’ordonnance de mesures protectrices de l’union conjugale du 16 mai 2019, mais que cette charge supplémentaire était en l’occurrence entièrement contrebalancée par l’augmentation de salaire de l’appelant intervenue depuis lors. Il a ainsi considéré que le nouveau disponible excédentaire de l’appelant était à l’évidence supérieur à celui établi précédemment, de sorte qu’il n’y avait pas lieu d’admettre l’existence de faits nouveaux justifiant de diminuer, encore moins de supprimer, les contributions d’entretien fixées en mai 2019.</w:t>
      </w:r>
    </w:p>
    <w:p>
      <w:r>
        <w:t>- 26 -</w:t>
      </w:r>
    </w:p>
    <w:p>
      <w:r>
        <w:rPr>
          <w:b/>
        </w:rPr>
        <w:t>E. 4.3.2</w:t>
      </w:r>
    </w:p>
    <w:p>
      <w:r>
        <w:t>En l’espèce, si la charge de loyer de l’appelant a effectivement augmenté de 1’675 fr. par mois depuis le 16 octobre 2019 – étant passée de 975 fr. à 2'650 fr. –, ses revenus mensuels ont dans le même temps augmenté de 5’940 fr., étant passés de 14'120 fr. nets durant sa période de chômage à 20'094 fr. (sans prise en compte du bonus de bienvenue et d’un éventuel bonus annuel sur les résultats) depuis son engagement au mois de septembre 2019. C’est dès lors à juste titre que le premier juge a constaté que malgré l’augmentation de la charge de loyer de l’appelant, le disponible de celui-ci était en réalité plus élevé désormais qu’il ne l’était au moment où les contributions d’entretien dues en faveur de l’intimée et de G.________ avaient été fixées au mois de mai 2019. Ce constat s’impose même si l’on tient compte des frais mensuels liés à la place de parc louée par l’appelant depuis octobre 2019, par 120 fr., et des frais mensuels de repas allégués par celui-ci en lien avec la prise de son nouvel emploi, par 238 fr. 70. Dans ces conditions, le premier juge était fondé à considérer que, dans la mesure où elles étaient largement compensées par l’augmentation de ses revenus, les charges nouvelles invoquées par l’appelant ne justifiaient pas qu’il soit procédé à un nouveau calcul des contributions d’entretien litigieuses, étant précisé qu’il n’y avait pas lieu d’envisager une augmentation de la pension due à G.________ du fait de la hausse des revenus de l’appelant, dès lors que la pension de l’enfant fixée dans l’ordonnance du 16 mai 2019 couvrait l’entretien convenable de celui-ci. Il n’apparaît au demeurant pas que la situation personnelle et financière de l’intimée se soit modifiée depuis que les contributions d’entretien en cause ont été arrêtées, celle-ci travaillant toujours à 60% pour le compte du même employeur. C’est en vain que l’appelant soutient qu’il conviendrait d’imputer à l’intimée un revenu hypothétique à un taux de travail de 80%. En application de la jurisprudence du Tribunal fédéral, il ne peut en principe être exigé du parent gardien qu’il exerce une activité lucrative à un taux de plus de 50% avant le début de l’entrée de l’enfant au niveau secondaire (TF 5A_384/2018 du 21 septembre 2018 consid. 4).</w:t>
      </w:r>
    </w:p>
    <w:p>
      <w:r>
        <w:t>- 27 - Or G.________ – qui est âgé de dix ans – s’apprête à entrer en 7P, de sorte qu’il ne commencera l’école secondaire que dans une année au minimum. Il n’y a dès lors pas matière à l’imputation d’un quelconque revenu hypothétique. On ne saurait davantage faire grief au premier juge de ne pas avoir tenu compte du fait que l’intimée perçoit des revenus locatifs. Dans la mesure où c’est par convention du 12 avril 2019 que les parties ont convenu d’une répartition entre elles par moitié des revenus provenant de la location des immeubles dont elles sont copropriétaires, ces revenus ne constituent manifestement pas un fait nouveau justifiant de revoir les contributions d’entretien arrêtées au mois de mai 2019. Il n’apparaît enfin pas que les coûts directs de G.________ auprès de sa mère se soient modifiés depuis qu’ils ont été arrêtés dans l’ordonnance du 16 mai 2019, l’appelant admettant au contraire que ceux- ci demeurent inchangés à 1'940 fr. 65. En définitive, c’est à raison que le premier juge a considéré qu’aucun fait nouveau au sens de l’art. 179 al. 1 CC n’avait été rendu vraisemblable et qu’il a refusé, pour ce motif, de réexaminer le montant des contributions d’entretien litigieuses. En l’absence de tels faits nouveaux, point n’est besoin de se prononcer sur les autres moyens soulevés par l’appelant, qui concernent la méthode à appliquer pour fixer les contributions d’entretien et les charges à prendre en considération dans ce cadre. De tels griefs n’ont en effet pas de place dans le cadre de la présente procédure de modification ; ils devaient, le cas échéant, être invoqués à l’appui d’un appel contre l’ordonnance de mesures protectrices de l’union conjugale du 16 mai 2019. 5. Au vu de ce qui précède, l’appel doit être très partiellement admis et le prononcé attaqué réformé en ce sens qu’un mandat d’évaluation de la situation de G.________ est confié à l’UEMS afin de faire toute proposition quant aux droits parentaux à son égard. Pour le surplus, l’appel doit être rejeté.</w:t>
      </w:r>
    </w:p>
    <w:p>
      <w:r>
        <w:t>- 28 - Sous réserve de sa conclusion tendant à la mise en œuvre d’un mandat d’évaluation, l’appelant succombe en définitive sur l’ensemble des conclusions de son appel. Dans ces conditions, les frais judiciaires de deuxième instance, arrêtés à 600 fr. (art. 65 al. 2 TFJC [Tarif des frais judiciaires civils du 28 septembre 2010 ; BLV 270.11.5]), seront mis à raison d’un sixième à la charge de l’intimée, par 100 fr., et de cinq sixièmes à la charge de l’appelant, par 500 francs (art. 106 al. 2 CPC). L’appelant versera en outre à l’intimée des dépens réduits de deuxième instance, évalués à 1'400 fr. [7h x 300 fr. – 2 x 1/6] (art. 3 al. 2 et 7 TDC [Tarif des dépens en matière civile du 23 novembre 2020 ; BLV 270.11.6]). Par ces motifs, le juge délégué de la Cour d’appel civile prononce : I. L’appel est partiellement admis. II. Le prononcé est réformé comme il suit par l’ajout d’un chiffre IIbis à son dispositif : IIbis. Confie un mandat d’évaluation de la situation de l’enfant G.________, né le [...] novembre 2009, à l’Unité évaluation et missions spécifiques du Service de protection de la jeunesse, avec pour mission de faire toute proposition quant aux droits parentaux à l’égard de l’enfant prénommé et dit que la détermination du lieu de résidence et la prise en charge de l’enfant G.________, ainsi que la réglementation de ses relations</w:t>
      </w:r>
    </w:p>
    <w:p>
      <w:r>
        <w:t>- 29 - personnelles avec le parent non gardien, seront revues sur la base de cette évaluation ; Le prononcé est confirmé pour le surplus. III. Les frais judiciaires de deuxième instance, arrêtés à 600 fr. (six cents francs), sont mis par 500 fr. (cinq cents francs) à la charge de l’appelant A.S.________ et par 100 fr. (cent francs) à la charge de l’appelante B.S.________. IV. L’intimée B.S.________ versera à l’appelant A.S.________ la somme de 100 fr. (cent francs) à titre de remboursement de sa part des frais judiciaires de deuxième instance, avancés par A.S.________. V. L’appelant A.S.________ versera à l’intimée B.S.________ la somme de 1'400 fr. (mille quatre cents francs) à titre de dépens de deuxième instance. VI. L’arrêt est exécutoire. Le juge délégué : Le greffier : Du Le présent arrêt, dont la rédaction a été approuvée à huis clos, est notifié en expédition complète à : - Me Matthieu Genillod (pour A.S.________), - Me Tiphanie Chappuis (pour B.S.________),</w:t>
      </w:r>
    </w:p>
    <w:p>
      <w:r>
        <w:t>- 30 -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6</w:t>
      </w:r>
    </w:p>
    <w:p>
      <w:r>
        <w:t>décembre 2016 consid. 3.1).</w:t>
      </w:r>
    </w:p>
    <w:p>
      <w:r>
        <w:rPr>
          <w:b/>
        </w:rPr>
        <w:t>E. 7</w:t>
      </w:r>
    </w:p>
    <w:p>
      <w:r>
        <w:t>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5A_845/2010 du 12 avril 2011 consid. 4.1 ; TF 5A_15/2014 précité consid. 3 ; TF 5A_33/2015 précité consid. 4.1 ; TF 5A_911/2016 du 28 avril 2017 consid. 3.3.1). En d'autres termes, ce qui est déterminant, ce n'est pas la prévisibilité des circonstances nouvelles, mais exclusivement le fait que la contribution d'entretien ait été fixée sans tenir compte de ces circonstances futures (ATF 141 III 376 consid. 3.3.1 ; TF 5A_617/2017 du 28 septembre 2017 consid. 3.1; TF 5A_64/2018 du 14 août 2018 consid. 3.1). Le caractère durable des faits nouveaux est quant à lui admis dès que l’on ignore la durée qu’ils auront (Chaix, Commentaire romand, Code civil I, 2010, n. 4 ad art. 179 CC). Ainsi, est essentiel et durable un changement significatif et non temporaire survenu postérieurement à la date à laquelle la décision a été rendue (TF 5A_571/2018 du 14 septembre 2018 consid. 5.1.1).</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