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JS19.049220 vom 25. Februar 2020</w:t>
      </w:r>
    </w:p>
    <w:p>
      <w:r>
        <w:t>VD Tribunal cantonal, 2020-02-25, FR</w:t>
      </w:r>
    </w:p>
    <w:p>
      <w:r>
        <w:rPr>
          <w:b/>
        </w:rPr>
        <w:t xml:space="preserve">Quelle: </w:t>
      </w:r>
      <w:r>
        <w:t>https://mcp.opencaselaw.ch/entscheid/vd_gerichte_JS19.049220</w:t>
      </w:r>
    </w:p>
    <w:p>
      <w:r>
        <w:t>FR: VD_GERICHTE JS19.049220 du 25 février 2020</w:t>
      </w:r>
    </w:p>
    <w:p>
      <w:r>
        <w:t>IT: VD_GERICHTE JS19.049220 del 25 febbraio 2020</w:t>
      </w:r>
    </w:p>
    <w:p>
      <w:pPr>
        <w:pStyle w:val="Heading2"/>
      </w:pPr>
      <w:r>
        <w:t>Erwägungen</w:t>
      </w:r>
    </w:p>
    <w:p>
      <w:r>
        <w:rPr>
          <w:b/>
        </w:rPr>
        <w:t>E. 3.1</w:t>
      </w:r>
    </w:p>
    <w:p>
      <w:r>
        <w:t>Le recourant reproche au premier juge d’avoir alloué des dépens, d’un montant de 900 fr., à l’intimée arguant en substance qu’aucune des parties n’aurait obtenu entièrement gain de cause et qu’une telle décision serait inéquitable. De son côté, l’intimée fait notamment valoir que le recourant ne se serait pas borné à conclure au rejet de la requête, comme le relève la décision attaquée, mais qu'il aurait aussi requis le blocage de tous les comptes de son épouse. Elle fait en outre valoir une fausse application du TDC à son détriment.</w:t>
      </w:r>
    </w:p>
    <w:p>
      <w:r>
        <w:rPr>
          <w:b/>
        </w:rPr>
        <w:t>E. 3.2</w:t>
      </w:r>
    </w:p>
    <w:p>
      <w:r>
        <w:t>Selon les règles générales de répartition, les frais – soit les frais judiciaires et les dépens (art. 95 al. 1 CPC) – sont mis à la charge de la partie succombante (art. 106 al. 1 CPC) ; ils sont répartis selon le sort de la cause lorsqu’aucune des parties n’obtient entièrement gain de cause (art. 106 al. 2 CPC).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5D_68/2017 du 30 avril 2018 consid. 2.2).</w:t>
      </w:r>
    </w:p>
    <w:p>
      <w:r>
        <w:rPr>
          <w:b/>
        </w:rPr>
        <w:t>E. 3.3</w:t>
      </w:r>
    </w:p>
    <w:p>
      <w:r>
        <w:t>Contrairement à ce que soutient l’intimée, le blocage des comptes est, à lire correctement les déterminations du recourant du 21</w:t>
      </w:r>
    </w:p>
    <w:p>
      <w:r>
        <w:t>- 7 - novembre 2019, une conclusion alternative voire subsidiaire à la conclusion principale qui est le rejet de la requête de l'intimée : « Alors je demande le Tribunal de lever la mesure superprovisionnelle de mon compte [...] et de protéger mes intéresses financière et légitimes ou de bloquer également les presque CHF de 1mio prélevé le 19.09.2018 (CHF 970'000.-) et le 18.06.2019 (CHF 17'400.-) ». On ignore en outre s'il s'agit des biens de l’intimée ou des parties. Enfin, ni le procès-verbal, ni la convention qui a été conclue par les parties ne permet d'y voir une conclusion supplémentaire prise par le recourant. Quant à la question de l’intimée relative à une éventuelle fausse application du TDC, elle échappe au pouvoir de cognition de la Chambre de céans, faute de recours de sa part. C’est par ailleurs à bon droit que le recourant considère qu’aucune des parties n’est victorieuse. Le recourant a en effet vu son compte bloqué à hauteur de 95'000 fr., soit de façon moins importante que ce que l’intimée avait requis, à savoir 115'000 francs. Le recourant obtient par ailleurs, en contrepartie, le blocage du compte de l’intimée à hauteur de 80'000 francs. L’équité qui doit prévaloir, particulièrement en matière du droit de la famille (art. 107 al. 1 let. c CPC), commandait de ne pas allouer de dépens à l’intimée. Le grief du recourant doit donc être admis.</w:t>
      </w:r>
    </w:p>
    <w:p>
      <w:r>
        <w:rPr>
          <w:b/>
        </w:rPr>
        <w:t>E. 4</w:t>
      </w:r>
    </w:p>
    <w:p>
      <w:r>
        <w:t>En définitive, le recours doit être admis et la décision entreprise réformée en ce sens qu’il n’est pas alloué de dépens de première instance à B.L.________. Les frais judiciaires de deuxième instance, arrêtés à 100 fr. (art. 69 al. 1 et 70 al. 3 TFJC [tarif des frais judiciaires civils du 28 septembre 2010 ; BLV 270.11.5]), seront mis à la charge de l’intimée, qui succombe (art. 106 al. 1 CPC). Elle devra ainsi verser au recourant la somme de 100 fr. à titre de restitution d’avance de frais judiciaires de deuxième instance.</w:t>
      </w:r>
    </w:p>
    <w:p>
      <w:r>
        <w:t>- 8 - Il n’y a pour le surplus pas lieu d’allouer au recourant de dépens de deuxième instance, celui-ci n’étant pas assisté. Par ces motifs, la Chambre des recours civile du Tribunal cantonal, prononce : I. Le recours est admis. II. Le prononcé est réformé comme il suit : II. dit qu’il n’est pas alloué de dépens à B.L.________. Le prononcé est confirmé pour le surplus. III. Les frais judiciaires de deuxième instance, arrêtés à 100 fr. (cent francs), sont mis à la charge de l’intimée B.L.________. IV. L’intimée B.L.________ doit verser au recourant A.L.________ la somme de 100 fr. (cent francs) à titre de restitution d’avance de frais judiciaires de deuxième instance.</w:t>
      </w:r>
    </w:p>
    <w:p>
      <w:r>
        <w:t>- 9 - V. L’arrêt est exécutoire. Le président : La greffière : Du L'arrêt qui précède, dont la rédaction a été approuvée à huis clos, est notifié à : - M. A.L.________ personnellement, - Me Alexa Landert pour B.L.________.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