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JS19.024443 vom 24. Oktober 2019</w:t>
      </w:r>
    </w:p>
    <w:p>
      <w:r>
        <w:t>VD Tribunal cantonal, 2019-10-24, FR</w:t>
      </w:r>
    </w:p>
    <w:p>
      <w:r>
        <w:rPr>
          <w:b/>
        </w:rPr>
        <w:t xml:space="preserve">Quelle: </w:t>
      </w:r>
      <w:r>
        <w:t>https://mcp.opencaselaw.ch/entscheid/vd_gerichte_JS19.024443</w:t>
      </w:r>
    </w:p>
    <w:p>
      <w:r>
        <w:t>FR: VD_GERICHTE JS19.024443 du 24 octobre 2019</w:t>
      </w:r>
    </w:p>
    <w:p>
      <w:r>
        <w:t>IT: VD_GERICHTE JS19.024443 del 24 ottobre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w:t>
      </w:r>
    </w:p>
    <w:p>
      <w:r>
        <w:t>On précisera que les pièces produites par l’appelant à l’appui de son mémoire sont recevables indépendamment des conditions posées</w:t>
      </w:r>
    </w:p>
    <w:p>
      <w:r>
        <w:t>- 13 - par l’art. 317 CPC, dès lors que la cause est soumise à la maxime inquisitoire illimitée et à la maxime d’office (ATF 144 III 349 consid. 4.2.1 et les références citées). Il en a été tenu compte dans l’état de fait dans la mesure de leur pertinence.</w:t>
      </w:r>
    </w:p>
    <w:p>
      <w:r>
        <w:rPr>
          <w:b/>
        </w:rPr>
        <w:t>E. 4.1</w:t>
      </w:r>
    </w:p>
    <w:p>
      <w:r>
        <w:t>L’appelant fait grief au premier juge d’avoir considéré qu’il n’y avait pas de faits nouveaux justifiant d’entrer en matière sur sa requête de modification.</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w:t>
      </w:r>
    </w:p>
    <w:p>
      <w:r>
        <w:t>- 14 - 518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w:t>
      </w:r>
    </w:p>
    <w:p>
      <w:r>
        <w:rPr>
          <w:b/>
        </w:rPr>
        <w:t>E. 4.2.2</w:t>
      </w:r>
    </w:p>
    <w:p>
      <w:r>
        <w:t>Les possibilités de modifier des mesures protectrices ou provisionnelles reposant sur une convention sont limitées. Les mêmes restrictions qui celles qui découlent de la jurisprudence en matière de convention de divorce sont applicables. Une adaptation ne peut être exigée que si les modifications notables concernent des éléments qui</w:t>
      </w:r>
    </w:p>
    <w:p>
      <w:r>
        <w:t>- 15 -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4.2.3</w:t>
      </w:r>
    </w:p>
    <w:p>
      <w:r>
        <w:t>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5A_781/2015 du 14 mars 2016 consid. 3.2.2 et les références citées).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w:t>
      </w:r>
    </w:p>
    <w:p>
      <w:r>
        <w:t>- 16 - (TF 5A_943/2016 du 1er juin 2017 consid. 6.2.1 ; TF 5A_781/2015 du 14 mars 2016 consid. 3.2.2 et les références citées).</w:t>
      </w:r>
    </w:p>
    <w:p>
      <w:r>
        <w:rPr>
          <w:b/>
        </w:rPr>
        <w:t>E. 4.3</w:t>
      </w:r>
    </w:p>
    <w:p>
      <w:r>
        <w:t>En l’espèce, la règlementation dont l’appelant requiert la modification repose sur une convention conclue par les parties, assistées de leurs conseils, lors de l’audience du 19 juin 2019, ratifiée pour valoir ordonnance de mesures protectrices de l’union conjugale. Cette convention prévoit en substance la mise en œuvre d’une expertise pédopsychiatrique tendant à apprécier les capacités parentales des parties et, jusqu’à droit connu sur celle-ci, l’attribution de la garde de l’enfant W.________ à l’intimée et la mise en place d’un droit de visite progressif de l’appelant sur l’enfant, en présence d’un tiers. Cet accord est intervenu après que l’intimée a requis la garde exclusive de l’enfant et la mise en place d’un droit de visite surveillé en faveur de l’appelant, requête fondée sur le certificat médical du Dr C.________ et le fait que l’appelant consommerait des stupéfiants et serait sujet à des accès de colère. Dans son mémoire, l’appelant se limite à exposer, partiellement et dans le désordre, un certain nombre d’appréciations sur des faits qu’il conteste ou qu’il aurait voulu, rétrospectivement, voir appréciés différemment pour tenter de démontrer que la convention aurait « été signée sur des faits biaisés par l’interprétation que l’intimée avait bien voulu en donner ». Ce faisant, l’appelant n’invoque pas des faits nouveaux importants au sens de l’art. 179 CC et se limite à réinterpréter des éléments qui étaient déjà connus lors de la conclusion de la convention du 19 juin 2019, en perdant de vue que la modification d’une mesure provisionnelle fixée par convention au motif que les faits qui ont fondé le choix des mesures provisoires dont la modification est sollicitée se sont révélés faux ou ne se sont par la suite pas réalisés comme prévus est limitée et n’entrera en ligne de compte dans cette hypothèse qu’en cas de vice de la volonté (erreur, dol ou crainte fondée), une erreur sur le caput controversum étant exclue (cf. supra consid. 4.2.2). Or l’intéressé ne</w:t>
      </w:r>
    </w:p>
    <w:p>
      <w:r>
        <w:t>- 17 - prétend pas davantage qu’il se serait trouvé sous l’emprise d’une erreur essentielle ou d’un autre vice du consentement lors de la signature de la convention précitée. En particulier, les nombreux témoignages écrits censés illustrer ses capacités parentales dont l’appelant se prévaut ne démontrent aucun élément nouveau et ne remettent pas en cause le bien- fondé de la convention. En réalité, les seuls éléments postérieurs à la signature de la convention litigieuse invoqués par l’appelant sont le résultat d’analyse sanguine du 20 juin 2019, le courriel du 8 juillet 2019 de la Juriste- Secrétaire générale du Conseil de santé de l’Office du Médecin cantonal et la plainte pénale qu’il a déposée contre la Dre S.________ le 2 septembre 2019. S’agissant du résultat d’analyse du 20 juin 2019, le fait qu’il démontre l’absence de produits stupéfiants dans le sang de l’appelant ne constitue pas un élément nouveau propre à remettre en cause la convention. L’allégation de l’intimée selon laquelle l’appelant consommerait des produits stupéfiants ne constituait qu’un des éléments invoqués par celle-ci pour requérir la garde exclusive et le fait que cette allégation est désormais contredite par un résultat d’analyse ne permet pas de considérer qu’il faille revoir l’accord conclu, qui répond au principe de précaution dans l’intérêt de l’enfant W.________ et dont les modalités sont vraisemblablement davantage en lien avec les éléments décrits par le Dr C.________ et le signalement de ceux-ci aux autorités. C’est ainsi à juste titre que le premier juge a considéré à ce sujet que la preuve d’une absence de consommation de drogue n’était pas un élément pertinent pour revoir la situation. En ce qui concerne le courriel du 8 juillet 2019, l’appelant n’explicite pas ce qu’il entend en tirer sous l’angle de la convention. En effet, il se contente d’indiquer à cet égard qu’il ressortirait de cet écrit que son cas « a interpellé à plusieurs égard, notamment parce que le Dr C.________ n’était pas pédiatre » et que si ce praticien avait été pédiatre, il aurait su que le type de lésion que l’enfant W.________ avait présenté était</w:t>
      </w:r>
    </w:p>
    <w:p>
      <w:r>
        <w:t>- 18 - banal chez une petite fille de son âge. Cela étant, ce courriel n’est d’aucun secours à l’appelant. La Juriste-Secrétaire générale du Conseil de santé de l’Office du Médecin cantonal ne fait qu’indiquer que le signalement du 24 mai 2019 de la Dre S.________ n’était pas constitutif d’une violation des devoirs professionnels et qu’il devait être compris dans un contexte particulier, notamment le contexte familial relaté dans le rapport de la Dre T.________. En outre, cet écrit ne corrobore pas l’affirmation de l’appelant selon laquelle un pédiatre aurait su que la lésion présentée par l’enfant W.________ aurait été banale chez une enfant de son âge puisqu’il y est seulement relevé que si un pédiatre avait été consulté dès le départ, « il est fort probable que les suites n’auraient pas été les mêmes », sans autre précision. De plus, l’auteur du courriel conclut en exposant notamment qu’une nouvelle expertise pédopsychiatrique devrait être mise sur pied, ce qui correspond à ce que les parties ont prévu dans la convention du 19 juin 2019. Quant à la plainte pénale déposée contre la Dre S.________, l’appelant n’explique pas non plus – et on ne voit pas davantage – quel argument il entend tirer de cette plainte, qui ne représente que son appréciation de la situation et dont on ignore totalement en quoi elle serait fondée. On constate ainsi que l’appelant échoue à démontrer l’existence d’un fait nouveau au sens de l’art. 179 CC justifiant de modifier la réglementation issue de la convention conclue par les parties le 19 juin 2019. On relèvera encore que les parties ont convenu de la réglementation litigieuse sur le droit de garde et le droit de visite jusqu’à droit connu sur une expertise pédopsychiatrique, qui n’a été mise en œuvre que le 24 septembre 2019 et dont les conclusions sont attendues d'ici au 31 janvier 2020. On rappellera cet égard qu’une nouvelle réglementation de la garde ne dépend en l’occurrence pas seulement de l’existence de circonstances nouvelles importantes, mais doit aussi être commandée par le bien de l’enfant (cf. supra consid. 4.2.3). Or, compte</w:t>
      </w:r>
    </w:p>
    <w:p>
      <w:r>
        <w:t>- 19 - tenu de l’avis du SPJ tel qu’exprimé lors de l’audience du 12 août 2019 et au degré de la vraisemblance, le bien de l’enfant W.________ paraît commander le maintien de la réglementation prévue par les parties jusqu’à droit connu sur l’expertise précitée, ce service ayant au demeurant considéré que la réinstauration d’une garde alternée était prématurée. Au surplus, il n’apparaît pas que le travail sur la coparentalité que les parties se sont engagées à effectuer selon le chiffre I de la convention du 19 juin 2019 ait débuté, alors que la mise place d’un tel processus serait bénéfique à l’intérêt de l’enfant. Au vu de ce qui a été exposé, c’est à juste titre que le premier juge a considéré que la requête de modification déposée par l’appelant à peine un mois après la signature de la convention litigieuse était largement prématurée, que la situation était identique à celle qui prévalait lors de cet accord et que l’appelant se bornait à réinterpréter des éléments qui étaient déjà connus au moment de la conclure la convention.</w:t>
      </w:r>
    </w:p>
    <w:p>
      <w:r>
        <w:rPr>
          <w:b/>
        </w:rPr>
        <w:t>E. 5.1</w:t>
      </w:r>
    </w:p>
    <w:p>
      <w:r>
        <w:t>En définitive, l’appel, manifestement mal fondé, doit être rejeté et l’ordonnance confirmée. La requête d’assistance judiciaire présentée par l’appelant doit par conséquent être rejetée, l’appel étant d’emblée dénué de chances de succès (art. 117 let. b CPC).</w:t>
      </w:r>
    </w:p>
    <w:p>
      <w:r>
        <w:rPr>
          <w:b/>
        </w:rPr>
        <w:t>E. 5.2</w:t>
      </w:r>
    </w:p>
    <w:p>
      <w:r>
        <w:t>Vu l’issue de l’appel, les frais judiciaires de deuxième instance, arrêtés à 600 fr. (art. 65 al. 2 TFJC [Tarif des frais judiciaires civils du 28 septembre 2010 ; BLV 270.11.5]), seront mis à la charge de l’appelant (art. 106 al. 1 CPC). L’intimée n’ayant pas été invitée à se déterminer (art. 312 al. 1 in fine CPC), il n’y a pas lieu de lui allouer des dépens de deuxième instance.</w:t>
      </w:r>
    </w:p>
    <w:p>
      <w:r>
        <w:t>- 20 - Par ces motifs, le Juge délégué de la Cour d’appel civile prononce : I. L’appel est rejeté. II. L’ordonnance est confirmée. III. La requête d’assistance judiciaire est rejetée. IV. Les frais judiciaires de deuxième instance, arrêtés à 600 fr. (six cents francs), sont mis à la charge de l’appelant B.________. V. L’arrêt est exécutoire. Le juge délégué : Le greffier : Du Le présent arrêt, dont la rédaction a été approuvée à huis clos, est notifié en expédition complète à : - Me Catherine Merényi (pour B.________), - Me Franck-Olivier Karlen (pour F.________),</w:t>
      </w:r>
    </w:p>
    <w:p>
      <w:r>
        <w:t>- 21 -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