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JS19.022047 vom 14. Februar 2020</w:t>
      </w:r>
    </w:p>
    <w:p>
      <w:r>
        <w:t>VD Tribunal cantonal, 2020-02-14, FR</w:t>
      </w:r>
    </w:p>
    <w:p>
      <w:r>
        <w:rPr>
          <w:b/>
        </w:rPr>
        <w:t xml:space="preserve">Quelle: </w:t>
      </w:r>
      <w:r>
        <w:t>https://mcp.opencaselaw.ch/entscheid/vd_gerichte_JS19.022047</w:t>
      </w:r>
    </w:p>
    <w:p>
      <w:r>
        <w:t>FR: VD_GERICHTE JS19.022047 du 14 février 2020</w:t>
      </w:r>
    </w:p>
    <w:p>
      <w:r>
        <w:t>IT: VD_GERICHTE JS19.022047 del 14 febbraio 2020</w:t>
      </w:r>
    </w:p>
    <w:p>
      <w:pPr>
        <w:pStyle w:val="Heading2"/>
      </w:pPr>
      <w:r>
        <w:t>Erwägungen</w:t>
      </w:r>
    </w:p>
    <w:p>
      <w:r>
        <w:rPr>
          <w:b/>
        </w:rPr>
        <w:t>E. 2</w:t>
      </w:r>
    </w:p>
    <w:p>
      <w:r>
        <w:t>CPC ; TF 5A_204/2018 du 15 juin 2018 consid. 4.1). 2.2.2 Dans le cadre de mesures protectrices de l'union conjugale, le juge établit les faits d'office en vertu de la maxime inquisitoire (art. 272 CPC).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w:t>
      </w:r>
    </w:p>
    <w:p>
      <w:r>
        <w:t>- 11 - enfants (TF 5A_608/2014 du 16 décembre 2014 consid. 4.2.1 ; TF 5A_2/2013 du 6 mars 2013 consid. 4.2 et les réf. citées, publié in FamPra.ch 2013 p. 769). Dans la mesure où l'établissement d'un fait est nécessaire pour déterminer la contribution d'entretien due aux enfants, la maxime inquisitoire de l'art. 296 al. 1 CPC lui est applicable même s'il sert ensuite aussi à fixer celle du conjoint (ATF 128 III 411 consid. 3.2.2 ; TF 5A_475/2011 du 12 décembre 2011 consid. 6.2.1 ; Bohnet, in Commentaire pratique, Droit matrimonial, 2016, n. 9 ad art. 272 CPC ; TF 5A_245/2019 du 1er juillet 2019 consid. 3.2.1). 2.2.3 L’instance d’appel peut revoir librement l'appréciation des faits sur la base des preuves administrées en première instance. En matière de mesures protectrices de l’union conjugale, ou en matière provisionnelle, elle statue, comme le premier juge, sur la base de la simple vraisemblance après une administration limitée des preuves (ATF 127 III 474 consid. 2b/bb ; TF 5A_661/2011 du 10 février 2012 consid. 2.3), en se fondant sur les moyens de preuve immédiatement disponibles (ATF 131 III 473 consid.</w:t>
      </w:r>
    </w:p>
    <w:p>
      <w:r>
        <w:rPr>
          <w:b/>
        </w:rPr>
        <w:t>E. 2.3</w:t>
      </w:r>
    </w:p>
    <w:p>
      <w:r>
        <w:t>in limine ; TF 5A_497/2011 du 5 décembre 2011 consid. 3.2).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Appel de B.N.________</w:t>
      </w:r>
    </w:p>
    <w:p>
      <w:r>
        <w:rPr>
          <w:b/>
        </w:rPr>
        <w:t>E. 3.1</w:t>
      </w:r>
    </w:p>
    <w:p>
      <w:r>
        <w:t>; TF 5A_329/2016 du 6 décembre 2016 consid. 3.1). Le fait revêt un caractère nouveau lorsqu'il n'a pas été pris en considération pour fixer la contribution d'entretien dans le jugement précédent (ATF 137 III 604 consid. 4.1.1 ; ATF 131 III 189 consid. 2.7.4 ; TF</w:t>
      </w:r>
    </w:p>
    <w:p>
      <w:r>
        <w:t>- 15 - 5A_829/2012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 TF 5A_154/2018 du 1er octobre 2019 consid. 4.1).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 TF 5A_64/2018 du 14 août 2018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w:t>
      </w:r>
    </w:p>
    <w:p>
      <w:r>
        <w:t>- 16 - litige. Une modification n'entrera en ligne de compte dans cette hypothèse qu'en cas de vice de la volonté (erreur, dol ou crainte fondée), une erreur sur le caput controversum étant exclue (ATF 142 III 518 consid. 2.6.2 ; cf. de Weck-Immelé, ibid.).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5A_113/2013 du 2 août 2012 consid. 3.1 ; TF 5A_33/2015 du 28 avril 2015 consid. 4.1 ; TF 5A_64/2018 du 14 août 2018 consid. 3.1).</w:t>
      </w:r>
    </w:p>
    <w:p>
      <w:r>
        <w:rPr>
          <w:b/>
        </w:rPr>
        <w:t>E. 3.2</w:t>
      </w:r>
    </w:p>
    <w:p>
      <w:r>
        <w:t>L'intimé a déposé une requête de mesures protectrices de l’union conjugale le 14 mai 2019, intitulée requête de mesures provisionnelles. Après interpellation, l'intimé a indiqué au président que sa requête pouvait être considérée comme une requête de mesures protectrices et une audience de mesures protectrices a été appointée le 21 août 2019. L'intimé ayant introduit une demande unilatérale en divorce, le tribunal a informé les parties que l'audience du 21 août 2019 serait transformée en audience de mesures provisionnelles. Lors de l'audience du 21 août 2019, l'appelante a conclu à l'incompétence du président en tant que juge des mesures provisionnelles. Lors de cette audience, le premier juge a indiqué aux parties qu'il entendait les auditionner en tant que juge des mesures provisionnelles. Le premier juge a finalement statué par voie de mesures protectrices, invoquant le fait que, selon la jurisprudence, lorsque l'action en divorce est introduite pendant la procédure de mesures protectrices, cette dernière ne devient pas sans objet, le juge des mesures protectrices demeurant compétent pour la période antérieure à la litispendance, et ce, même s'il ne rend sa décision que postérieurement (ATF 129 III 60 ; ATF 138 III 646 consid. 3.3.2 ; TF 5A_13/2019 du 2 juillet 2019) et sa décision déployant ses effets jusqu'à ce que le juge des mesures provisionnelles l'ait modifiée (art. 276 al. 2 CPC). Il a considéré que l'audience tenue devait être une audience de mesures protectrices, mais que, compte tenu du fait que le président du tribunal d'arrondissement est compétent pour statuer tant sur les mesures provisionnelles que sur les mesures protectrices de l'union conjugale et que les deux procédures obéissent aux mêmes règles procédurales, puisqu'elles relèvent toutes deux de la procédure sommaire, il serait contraire au principe d'économie de procédure et à l'interdiction du formalisme excessif de considérer que celle-ci n'avait pas été valablement tenue et de ne pas en tenir compte.</w:t>
      </w:r>
    </w:p>
    <w:p>
      <w:r>
        <w:rPr>
          <w:b/>
        </w:rPr>
        <w:t>E. 3.3</w:t>
      </w:r>
    </w:p>
    <w:p>
      <w:r>
        <w:t>Ces considérations peuvent être confirmées. Au demeurant, on ne voit pas quel intérêt digne de protection au sens de l'art. 59 al. 1 let. a CPC l'appelante aurait à soulever le grief, alors que le premier juge a statué par voie de mesures protectrices conformément à ses conclusions</w:t>
      </w:r>
    </w:p>
    <w:p>
      <w:r>
        <w:t>- 13 - et que l'audience a été tenue par le même juge selon les mêmes règles procédurales. Les droits des parties n'ont ainsi pas été péjorés ni amoindris en raison du changement d'intitulé de l'audience du 21 août 2019, chaque partie ayant pu être entendue et pu faire valoir ses moyens de preuve. S'agissant des frais, l'appelante bénéficie de la gratuité des mesures protectrices (art. 37 al. 3 CDPJ [Code de droit privé judiciaire vaudois du 12 janvier 2010 ; BLV 211.02]), de sorte qu'elle ne saurait avoir subi de préjudice de ce chef. Le régime des dépens est semblable en matière de mesures provisionnelles et protectrices, puisque l'art. 37 al. 3 CDPJ n'exclut pas l'allocation de dépens (Juge délégué CACI 13 septembre 2017/417). Quant à l'effet rétroactif, les principes applicables sont semblables qu'il s'agisse de la modification de mesures protectrices ou de mesures provisionnelles (cf. TF 5A_539/2019 du 14 novembre 2019 consid. 3.3 et réf. citées).</w:t>
      </w:r>
    </w:p>
    <w:p>
      <w:r>
        <w:rPr>
          <w:b/>
        </w:rPr>
        <w:t>E. 4.1</w:t>
      </w:r>
    </w:p>
    <w:p>
      <w:r>
        <w:t>L'appelante soutient que la requête de l’intimé devrait être rejetée au motif qu'il n'existerait pas de faits nouveaux susceptibles de modifier la convention conclue entre les parties le 15 août 2018. Elle fait valoir que la modification des revenus de l'intimé, qui avait été licencié par courrier du 29 juin 2018 pour le 31 décembre 2018, était prévisible au moment de la signature de la convention, de sorte qu'il ne s'agirait pas de faits nouveaux. Ses revenus étant incertains dès le 1er janvier 2019, il s'agissait d'un caput controversum sur lequel il ne pouvait être revenu.</w:t>
      </w:r>
    </w:p>
    <w:p>
      <w:r>
        <w:rPr>
          <w:b/>
        </w:rPr>
        <w:t>E. 4.2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w:t>
      </w:r>
    </w:p>
    <w:p>
      <w:r>
        <w:t>- 14 -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 TF 5A_720/2011 du 8 mars 2012 consid. 4.1.2 et réf. citées ; TF 5A_811/2012 du 18 février 2013 consid.3.2 et réf. citées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citées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w:t>
      </w:r>
    </w:p>
    <w:p>
      <w:r>
        <w:rPr>
          <w:b/>
        </w:rPr>
        <w:t>E. 4.3</w:t>
      </w:r>
    </w:p>
    <w:p>
      <w:r>
        <w:t>En l'espèce, il n'est pas établi que les discussions transactionnelles ayant abouti à la convention du 15 août 2018 aient pris en compte une éventuelle baisse de revenu à la suite du licenciement au 31 décembre 2018 intervenu le 29 juin 2018 et que ce point ait fait l'objet du caput controversum, le seul fait que l'appelante ait indiqué, lors de l'audience du 21 août 2019, avoir accepté la convention car elle savait que l'intimé était licencié et qu'il avait de fortes chances d'avoir une baisse de revenus, étant insuffisant à cet égard, compte tenu de la valeur probante</w:t>
      </w:r>
    </w:p>
    <w:p>
      <w:r>
        <w:t>- 17 - très atténuée des déclarations de parties, qui doivent être corroborées par d'autres éléments (CACI 31 mars 2017/133 consid. 3.2.3 et la réf. citée). On doit en l'espèce d'autant moins tenir compte de ces déclarations qu'elles n'ont pas été signées par l'intéressée, alors que, pour avoir une valeur probante, la déposition des parties doit être transcrite au procès- verbal dans sa teneur essentielle et être signée (TF 4A_498/2014 du 3 février 2015 consid. 3.3). Par ailleurs, il n'y a pas lieu de présumer que la contribution d'entretien aurait été fixée en tenant compte d'une baisse de salaire. Une telle présomption ne trouve en effet application qu'en présence de modifications prévisibles, soit celles qui, bien que futures, sont déjà certaines ou fort probables. Or, si le licenciement était certain, la baisse de revenus qui en résulterait n'était ni certaine ni fort probable, tant dans son principe que dans sa quotité, étant relevé que l'intimé a trouvé un nouvel emploi dès le 8 février 2019, soit un mois après la fin de son précédent contrat. Cela étant, dès lors que la diminution de revenus n'a pas été prise en compte dans la convention signée par les parties le 15 août 2018, elle constitue un fait nouveau, dont il n'est pas contesté qu'il soit notable et c'est à juste titre que le premier juge est entré en matière sur la requête. Cela étant, il n'est pas nécessaire d'examiner si, comme le premier juge l'a retenu, la modification des charges de loyer de l'appelante constituait également un fait nouveau important justifiant d'entrer en matière sur la requête de modification, ce qui paraît douteux, dès lors que le moment déterminant pour apprécier si des circonstances nouvelles se sont produites est la date du dépôt de la demande de modification et que la modification des charges de loyer depuis le 1er septembre 2019 est postérieure au dépôt de la requête en modification le 14 mai 2019.</w:t>
      </w:r>
    </w:p>
    <w:p>
      <w:r>
        <w:rPr>
          <w:b/>
        </w:rPr>
        <w:t>E. 5.1</w:t>
      </w:r>
    </w:p>
    <w:p>
      <w:r>
        <w:t>L'appelante fait valoir qu'au vu du contrat de travail de l’intimé, ce dernier devrait avoir droit à une rémunération variable. Elle</w:t>
      </w:r>
    </w:p>
    <w:p>
      <w:r>
        <w:t>- 18 - réitère sa requête d'audition comme témoin de l'administrateur de l'employeur de l'intimé sur le montant de cette gratification.</w:t>
      </w:r>
    </w:p>
    <w:p>
      <w:r>
        <w:rPr>
          <w:b/>
        </w:rPr>
        <w:t>E. 5.2</w:t>
      </w:r>
    </w:p>
    <w:p>
      <w:r>
        <w:t>Selon le chiffre 3.2 du contrat, « les conditions liées à votre rémunération variable seront fixées après la période d'essai mais au plus tard le 31 mai 2019 ». Interpellé par le tribunal, l'employeur a précisé par courrier du 5 août 2019 ce qui suit : « Pour faire suite à votre courrier du 30 juillet 2019, nous vous informons qu'à ce jour aucun avenant au contrat de travail relatif à la rémunération variable de Monsieur A.N.________ n'a été établi. En effet, malgré l'indication dans le contrat de travail, aucune rémunération variable n'a été convenue pour Monsieur A.N.________. Sa rémunération est donc uniquement celle indiquée dans le point 3.1 de son contrat ». Au vu de ce courrier, il n'apparaît pas vraisemblable que l'intimé perçoive effectivement une gratification en sus de son salaire et l'audition de l'administrateur de l'employeur peut être refusée par appréciation anticipée des preuves (cf. consid. 2.2.2 supra). Au cas où un avenant devait être signé par la suite et une gratification perçue, cela justifiera cas échéant une nouvelle requête en modification.</w:t>
      </w:r>
    </w:p>
    <w:p>
      <w:r>
        <w:rPr>
          <w:b/>
        </w:rPr>
        <w:t>E. 6.1</w:t>
      </w:r>
    </w:p>
    <w:p>
      <w:r>
        <w:t>L'appelante fait enfin valoir que les impôts de l'intimé n'auraient pas dû être pris en compte dans ses charges, dès lors que ce dernier n'avait pas prouvé qu'il réglait la charge fiscale courante.</w:t>
      </w:r>
    </w:p>
    <w:p>
      <w:r>
        <w:rPr>
          <w:b/>
        </w:rPr>
        <w:t>E. 6.2</w:t>
      </w:r>
    </w:p>
    <w:p>
      <w:r>
        <w:t>Lorsque la contribution est calculée conformément à la méthode dite du minimum vital avec répartition de l'excédent et que les conditions financières des parties sont favorables, il faut prendre en considération la charge fiscale courante (TF 5A_219/2014 du 26 juin 2014 consid. 4.2.1 ; TF 5A_302/2011 du 30 septembre 2011 consid. 6.3.1, in FamPra.ch 2012 p. 160 ; TF 5A_732/2007 du 4 avril 2008 consid. 2.1). L'appelante ne conteste pas que la situation des parties est suffisamment favorable pour prendre en compte la charge fiscale courante.</w:t>
      </w:r>
    </w:p>
    <w:p>
      <w:r>
        <w:t>- 19 - Seules les charges effectivement payées sont en principe prises en considération. Tel est notamment le cas de la charge fiscale courante (TF 5A_779/2015 du 12 juillet 2016 consid. 5.2). S'il est vrai que l’intimé n'a pas établi avoir réglé sa charge fiscale courante, la pièce 17 faisant au contraire état d'acomptes impayés pour 2019, les charges d'impôt de l'appelante ont également été prises en compte, alors que celle-ci n'avait pas plus établi leur versement effectif. Elle admet au contraire dans son appel ne pas avoir réglé cette charge, peu importe pour quelle raison. Dès lors que les charges sont pratiquement équivalentes, il est admissible, dans ces circonstances particulières, de les prendre en compte chez les deux époux, plutôt que pas du tout. Au vu de ce qui précède, l'appel de B.N.________ doit être rejeté. Appel de A.N.________</w:t>
      </w:r>
    </w:p>
    <w:p>
      <w:r>
        <w:rPr>
          <w:b/>
        </w:rPr>
        <w:t>E. 7.1</w:t>
      </w:r>
    </w:p>
    <w:p>
      <w:r>
        <w:t>L'appelant soutient qu'il y aurait lieu d'imputer à l'intimée un revenu hypothétique de 4'400 fr., ce qui correspondrait au salaire qu’elle perçoit actuellement à 60 %, augmenté au taux de 80 %.</w:t>
      </w:r>
    </w:p>
    <w:p>
      <w:r>
        <w:rPr>
          <w:b/>
        </w:rPr>
        <w:t>E. 7.2.1</w:t>
      </w:r>
    </w:p>
    <w:p>
      <w:r>
        <w:t>Selon la jurisprudence, le juge fixe les contributions d'entretien du droit de la famille en se fondant, en principe, sur le revenu effectif des parties. Il peut toutefois s'en écarter et retenir un revenu hypothétique supérieur (TF 5A_736/2008 du 30 mars 2009 consid. 4 ; ATF 128 III 4 consid. 4, JdT 2002 I 294 consid. 4 et les réf. citées). Lorsque le juge entend tenir compte d'un revenu hypothétique, il doit examiner successivement deux conditions. Tout d'abord, il doit déterminer s'il peut être raisonnablement exigé de la personne concernée qu'elle exerce une activité lucrative ou augmente celle-ci, eu égard,</w:t>
      </w:r>
    </w:p>
    <w:p>
      <w:r>
        <w:t>- 20 -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w:t>
      </w:r>
    </w:p>
    <w:p>
      <w:r>
        <w:t>- 21 - un délai de six mois a été accordé à l'épouse pour augmenter son taux de travail à 60 %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w:t>
      </w:r>
    </w:p>
    <w:p>
      <w:r>
        <w:rPr>
          <w:b/>
        </w:rPr>
        <w:t>E. 7.2.2</w:t>
      </w:r>
    </w:p>
    <w:p>
      <w:r>
        <w:t>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 TF 5A_931/2017 du 1er novembre 2018 consid. 3.1.2, SJ 2019 I 223).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(ATF 144 III 481 consid. 4.5-4.6 ; TF 5A_968/2017 du 25 septembre 2018 consid. 3.1.2, FamPra.ch 2019 p. 326). Ces principes directeurs s'appliquent également à l'entretien de l'époux, durant et après le mariage (ATF 144 III 481 consid. 4 ; TF 5A_931/2017 du 1er novembre 2018 consid. 3.1.2, SJ 2019 I 223). Autrement dit,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w:t>
      </w:r>
    </w:p>
    <w:p>
      <w:r>
        <w:t>- 22 - concret lui aussi – de la capacité de gain de ceux-ci (TF 5A_963/2018 du 23 mai 2019 consid. 3.3.2 et réf. citées, FamPra.ch 2019 p. 991).</w:t>
      </w:r>
    </w:p>
    <w:p>
      <w:r>
        <w:rPr>
          <w:b/>
        </w:rPr>
        <w:t>E. 7.3</w:t>
      </w:r>
    </w:p>
    <w:p>
      <w:r>
        <w:t>Le premier juge a retenu que, compte tenu de l'âge des enfants et si l'on appliquait strictement la jurisprudence, on pourrait exiger de l'intimée qu'elle augmente son taux de travail à 80 %. Toutefois, celle- ci avait effectué spontanément une demande auprès de son employeur, qui lui avait répondu qu'il n'était actuellement pas possible d'augmenter son taux de travail, comme l'atteste un courrier du 27 mai 2019. Par ailleurs, l'intimée avait également effectué des démarches auprès de l'office régional de placement, en vue de trouver un complément d'activité. Il lui avait été indiqué que, pour obtenir de meilleures chances, elle devrait résilier son contrat à 60 % auprès de son employeur actuel, ce qui ne pouvait pas être exigé d’elle, pour qui l'absence de revenu ou la perception d'un revenu diminué à 80 % de son salaire actuel rendrait sa situation financière difficile, de sorte que l'on ne pouvait considérer qu'elle aurait la possibilité effective, réelle et actuelle de trouver un emploi à un taux plus élevé. L'appelant soutient que l'intimée dispose d'une formation d'employée de commerce, qu'elle est en bonne santé, qu'elle a toujours exercé une activité lucrative durant la vie commune en tant que secrétaire-assistante, qu'elle a été employée de la société suisse des ingénieurs et des architectes, de sorte que, vu son parcours et son expérience professionnelle au sein de différentes branches, elle pourrait trouver un emploi à 80 % dans une autre entreprise, voire dans une autre branche. Au demeurant, l'intimée n'aurait pas produit de pièces attestant de recherches d'emploi, de sorte qu'elle ne pourrait s'appuyer sur les indications de l'office régional de placement. L'intimée objecte tout d'abord que l'appelant ne pourrait pas se prévaloir d'un revenu hypothétique de l'intimée, dès lors qu'il n'avait fait aucune réserve dans le cadre de la convention passée, de sorte que les salaires de référence faisaient partie du « caput controversum ».</w:t>
      </w:r>
    </w:p>
    <w:p>
      <w:r>
        <w:t>- 23 - Il n'est cependant pas établi que le taux d'activité de l’intimée ait été l'objet de débats lors de la précédente procédure et fasse partie du caput controversum, de sorte que l'argumentation tombe à faux. De toute manière, l'écoulement du temps constitue une circonstance nouvelle, qui justifie un réexamen de la question du revenu hypothétique, celui-ci étant tributaire d'un délai d'adaptation à fixer de cas en cas. Contrairement à ce que soutient l'appelant, on ne saurait exiger de l'intimée qu'elle fasse de vaines recherches d'un emploi complémentaire à 20 %, qui selon les indications de l'office régional de placement n'auraient que peu de chances d'aboutir. De même, on ne saurait exiger d'elle qu'elle résilie son emploi à 60 %, dans le but de retrouver, dans un délai indéterminé, un emploi à 80 %. Pour le surplus, l'appelant se borne à alléguer que l'intimée pourrait réaliser un revenu équivalent à celui qu'elle a déjà, mais à un taux de 80%. Dès lors qu'il est constant que l'intimée ne peut étendre son activité dans son emploi actuel, il incombait à l'appelant de rendre vraisemblable, le cas échéant au moyen de statistiques, le revenu que l'intimée pourrait obtenir à 80 % dans une autre branche, par exemple comme secrétaire auprès d'un architecte, ce qu'il n'a pas fait. Cela étant, l'intimée ne saurait s'abstenir de toutes recherches d'emploi à 80 % (tout en gardant entretemps son emploi actuel), en attendant l'éventualité évoquée à l'audience d'une augmentation de son poste à 80 % chez son employeur actuel dans les six à onze mois à venir. Il lui incombe au contraire d'effectuer dès aujourd'hui des recherches d'emploi sérieuses, sous peine de risquer de se voir imputer un revenu hypothétique après un délai d'adaptation qui peut être fixé à fin juin 2020, compte tenu de la situation financière favorable des époux et du fait que la problématique du taux d'activité à 80 % a été évoquée par l'appelant pour la première fois dans sa requête du 14 mai 2019, un délai d'adaptation d'un peu plus d’une année paraissant adéquat.</w:t>
      </w:r>
    </w:p>
    <w:p>
      <w:r>
        <w:t>- 24 -</w:t>
      </w:r>
    </w:p>
    <w:p>
      <w:r>
        <w:rPr>
          <w:b/>
        </w:rPr>
        <w:t>E. 8</w:t>
      </w:r>
    </w:p>
    <w:p>
      <w:r>
        <w:t>L'appelant fait valoir que certaines charges de l'intimée auraient été surévaluées.</w:t>
      </w:r>
    </w:p>
    <w:p>
      <w:r>
        <w:rPr>
          <w:b/>
        </w:rPr>
        <w:t>E. 8.1</w:t>
      </w:r>
    </w:p>
    <w:p>
      <w:r>
        <w:t>Il conteste que des frais d'abonnement de bus aient pu être retenus, en sus des frais de leasing, d'assurance et d'essence. Vu le caractère modique des frais d'abonnement (74 fr.), il est admissible de retenir un montant de frais de transport global, tel qu'admis par le premier juge, certains courts déplacements pouvant légitimement être effectués en transport public.</w:t>
      </w:r>
    </w:p>
    <w:p>
      <w:r>
        <w:rPr>
          <w:b/>
        </w:rPr>
        <w:t>E. 8.2</w:t>
      </w:r>
    </w:p>
    <w:p>
      <w:r>
        <w:t>Il soutient que les frais d'essence, par 200 fr., n'auraient pas été prouvés et ne devraient pas être pris en compte. Il n'est pas exclu de tenir compte de certains forfaits car, pour des postes de dépenses comme les besoins quotidiens, il est presque impossible d'établir après coup les chiffres (TF 5A_1020/2015 du 15 novembre 2016 consid. 5.1). Le forfait retenu par le premier juge selon son expérience ne prête pas le flanc à la critique.</w:t>
      </w:r>
    </w:p>
    <w:p>
      <w:r>
        <w:rPr>
          <w:b/>
        </w:rPr>
        <w:t>E. 8.3</w:t>
      </w:r>
    </w:p>
    <w:p>
      <w:r>
        <w:t>Quant aux frais de leasing, l’appelant soutient que du fait que l’intimée n’exerce pas une activité à plein temps, ils devraient être pris en compte à hauteur de 80 %. En l’espèce, il était admissible de retenir ces frais dans leur entier et non en proportion du taux d'activité de l’intimée. D'une part, ces frais sont identiques quel que soit le taux d'activité et la dette a été contractée durant la vie commune. D'autre part, lorsque la situation des parties est suffisamment favorable pour couvrir les charges supplémentaires liées à l'existence de deux ménages, il est admissible de prendre en compte des frais de véhicule même non indispensables à l'acquisition du revenu, notamment pour des activités ménagères ou de loisirs (TF 5A_703/2011 du 7 mars 2012 consid. 4.2). Enfin, un montant élevé a également été retenu à ce titre dans les charges de l'appelant, de sorte qu'en vertu du principe d'égalité de traitement, il se justifie de retenir l'intégralité des charges de leasing de l'intimée.</w:t>
      </w:r>
    </w:p>
    <w:p>
      <w:r>
        <w:rPr>
          <w:b/>
        </w:rPr>
        <w:t>E. 8.4</w:t>
      </w:r>
    </w:p>
    <w:p>
      <w:r>
        <w:t>L'appelant soutient que la charge d’impôts mensuelle de l'intimée ne serait pas supérieure à 1'000 francs. Il ne motive cependant</w:t>
      </w:r>
    </w:p>
    <w:p>
      <w:r>
        <w:t>- 25 - nullement sa critique du montant retenu par le premier juge, qui a relevé que la charge d'impôt actuelle de l’intimée, fondée sur le revenu de son activité lucrative ainsi que sur la pension versée jusqu'à ce jour s'élevait à 1'624 fr. 30 par mois, le futur montant ayant été estimé à 1'500 fr. par mois compte tenu de la baisse de pension ordonnée et du changement de domicile de l'intimée. Le grief est irrecevable, faute de motivation.</w:t>
      </w:r>
    </w:p>
    <w:p>
      <w:r>
        <w:rPr>
          <w:b/>
        </w:rPr>
        <w:t>E. 9</w:t>
      </w:r>
    </w:p>
    <w:p>
      <w:r>
        <w:t>L'appelant soutient que certaines de ses charges auraient été sous-évaluées.</w:t>
      </w:r>
    </w:p>
    <w:p>
      <w:r>
        <w:rPr>
          <w:b/>
        </w:rPr>
        <w:t>E. 9.1</w:t>
      </w:r>
    </w:p>
    <w:p>
      <w:r>
        <w:t>Il fait valoir des frais de repas pris à l'extérieur, pour un montant de 221 fr. par mois. Le premier juge a considéré que les frais de repas pris à l'extérieur étaient entièrement remboursés par l'employeur sur présentation d'un justificatif, conformément au règlement en matière de remboursement des frais de l'entreprise. Contrairement à ce que soutient l’appelant, il ne résulte pas du chiffre 2.2 du règlement précité que les frais de repas à l'extérieur ne seraient remboursés que lorsque l'employé déjeune avec un client, les alinéas 1 à 3 prévoyant, sans limitation supplémentaire, que les frais de repas sont remboursés sur la base de pièces justificatives, l'alinéa 5 précisant par ailleurs que les invitations de clients au restaurant ne sont pour leur part remboursées que sur la base de certains renseignements et de pièces justificatives. C'est donc à juste titre que le premier juge n'a retenu aucun montant de ce chef.</w:t>
      </w:r>
    </w:p>
    <w:p>
      <w:r>
        <w:rPr>
          <w:b/>
        </w:rPr>
        <w:t>E. 9.2</w:t>
      </w:r>
    </w:p>
    <w:p>
      <w:r>
        <w:t>L'appelant fait valoir que ses impôts s'élèveraient à 2'193 fr. et non à 1'700 francs. Dès lors que l'appelant, dans le cadre de sa requête de mesures protectrices de l’union conjugale, avait lui-même allégué des charges de 1'700 fr. à titre d’impôts et qu'il n'établit pas verser effectivement des charges supérieures, les pièces dont il se prévaut faisant au contraire état d'acomptes impayés (pièce 17 selon bordereau du 8 août 2019), son grief ne peut être que rejeté.</w:t>
      </w:r>
    </w:p>
    <w:p>
      <w:r>
        <w:t>- 26 -</w:t>
      </w:r>
    </w:p>
    <w:p>
      <w:r>
        <w:rPr>
          <w:b/>
        </w:rPr>
        <w:t>E. 10.1</w:t>
      </w:r>
    </w:p>
    <w:p>
      <w:r>
        <w:t>L'appelant soutient que la modification des contributions d’entretien devrait intervenir depuis le 1er mai 2019.</w:t>
      </w:r>
    </w:p>
    <w:p>
      <w:r>
        <w:rPr>
          <w:b/>
        </w:rPr>
        <w:t>E. 10.2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 TF 5A_681/2014 du 14 avril 2015 consid. 4.3 ; TF 5A_101/2013 du 25 juillet 2013 consid. 3 ; TF 5A_340/2008 du 12 août 2008 consid. 5). Lorsque le motif pour lequel la modification est demandée se trouve déjà réalisé au moment de la requête,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 régime d'exception (TF 5A_894/2010 du 15 avril 2011 consid. 6.2., in RSPC 2011 p. 315 ; TF 5A_501/2015 du 12 janvier 2016 consid. 4.2 ; TF 5A_831/2016 du 21 mars 2016 consid. 4.3.1 ; TF 5A_685/2018 du 15 mai 2019 consid. 5.3.4.1, FamPra.ch 2019 p. 948 ; TF 5A_539/2019 du 14 novembre 2019 consid. 3.3).</w:t>
      </w:r>
    </w:p>
    <w:p>
      <w:r>
        <w:rPr>
          <w:b/>
        </w:rPr>
        <w:t>E. 10.3</w:t>
      </w:r>
    </w:p>
    <w:p>
      <w:r>
        <w:t>En l'espèce, le premier juge a considéré que, si l'on accordait la baisse de la pension due à l'épouse dès le 1er mai 2019, celle-ci pourrait</w:t>
      </w:r>
    </w:p>
    <w:p>
      <w:r>
        <w:t>- 27 - se voir réclamer un montant de 10'000 fr. à titre de remboursement des montants payés en trop, montant qu'au vu de sa situation financière, elle ne semblait pas en mesure de pouvoir prendre en charge, de sorte que la restitution de ce montant ne pouvait être exigée. Au vu de la jurisprudence précitée, cette motivation ne procède pas d'un abus de pouvoir d'appréciation et peut être confirmée, d'autant que le principe de la modification pouvait prêter à discussion, de sorte que l'intimée avait des motifs sérieux de compter avec le maintien du régime d'origine. L’appel de A.N.________ doit être également rejeté.</w:t>
      </w:r>
    </w:p>
    <w:p>
      <w:r>
        <w:rPr>
          <w:b/>
        </w:rPr>
        <w:t>E. 11.1</w:t>
      </w:r>
    </w:p>
    <w:p>
      <w:r>
        <w:t>En conclusion, les appels de A.N.________ et de B.N.________ doivent être rejetés et le prononcé entrepris confirmé.</w:t>
      </w:r>
    </w:p>
    <w:p>
      <w:r>
        <w:rPr>
          <w:b/>
        </w:rPr>
        <w:t>E. 11.2</w:t>
      </w:r>
    </w:p>
    <w:p>
      <w:r>
        <w:t>Les frais judiciaires de deuxième instance relatifs à l’appel déposé par A.N.________ seront arrêtés à 1’200 fr. (art. 65 al. 4 TFJC [tarif des frais judiciaires civils du 28 septembre 2010 ; BLV 270.11.5]) et mis à la charge de l’appelant qui succombe (art. 106 al. 1 CC). Les frais judiciaires de deuxième instance relatifs à l’appel déposé par B.N.________ seront arrêtés à 1’200 fr. (art. 65 al. 4 TFJC) et mis à sa charge dès lors qu’elle succombe (art. 106 al. 1 CC).</w:t>
      </w:r>
    </w:p>
    <w:p>
      <w:r>
        <w:rPr>
          <w:b/>
        </w:rPr>
        <w:t>E. 11.3</w:t>
      </w:r>
    </w:p>
    <w:p>
      <w:r>
        <w:t>Les dépens de deuxième instance seront compensés.</w:t>
      </w:r>
    </w:p>
    <w:p>
      <w:r>
        <w:t>- 28 - Par ces motifs, le Juge délégué de la Cour d’appel civile prononce : I. Les appels de A.N.________ et de B.N.________ sont rejetés. II. Le prononcé de mesures protectrices de l’union conjugale est confirmé. III. Les frais judiciaires de deuxième instance de l’appel de A.N.________, arrêtés à 1’200 fr. (mille deux cents francs), sont mis à la charge de celui-ci. IV. Les frais judiciaires de deuxième instance de l’appel de B.N.________, arrêtés à 1’200 fr. (mille deux cents francs), sont mis à la charge de celle-ci. V. Les dépens de deuxième instance sont compensés. VI. L’arrêt est exécutoire. Le juge délégué : La greffière : Du Le présent arrêt, dont la rédaction a été approuvée à huis clos, est notifié en expédition complète à : - Me Alain Dubuis (pour A.N.________), - Me José Coret (pour B.N.________),</w:t>
      </w:r>
    </w:p>
    <w:p>
      <w:r>
        <w:t>- 29 -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