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JS19.019963 vom 23. Juli 2019</w:t>
      </w:r>
    </w:p>
    <w:p>
      <w:r>
        <w:t>VD Tribunal cantonal, 2019-07-23, FR</w:t>
      </w:r>
    </w:p>
    <w:p>
      <w:r>
        <w:rPr>
          <w:b/>
        </w:rPr>
        <w:t xml:space="preserve">Quelle: </w:t>
      </w:r>
      <w:r>
        <w:t>https://mcp.opencaselaw.ch/entscheid/vd_gerichte_JS19.019963</w:t>
      </w:r>
    </w:p>
    <w:p>
      <w:r>
        <w:t>FR: VD_GERICHTE JS19.019963 du 23 juillet 2019</w:t>
      </w:r>
    </w:p>
    <w:p>
      <w:r>
        <w:t>IT: VD_GERICHTE JS19.019963 del 23 luglio 2019</w:t>
      </w:r>
    </w:p>
    <w:p>
      <w:pPr>
        <w:pStyle w:val="Heading2"/>
      </w:pPr>
      <w:r>
        <w:t>Erwägungen</w:t>
      </w:r>
    </w:p>
    <w:p>
      <w:r>
        <w:rPr>
          <w:b/>
        </w:rPr>
        <w:t>E. 2</w:t>
      </w:r>
    </w:p>
    <w:p>
      <w:r>
        <w:t>Le 11 juillet 2019, Me Jeanne Clerc a requis la rectification du chiffre V du dispositif de l’arrêt précité en ce sens qu’il lui soit alloué les débours forfaitaires prévu par le RAJ et qu’il soit tenu compte d’une heure supplémentaire pour la préparation de l’audience, qui lui avait été retranchée de sa liste de frais.</w:t>
      </w:r>
    </w:p>
    <w:p>
      <w:r>
        <w:rPr>
          <w:b/>
        </w:rPr>
        <w:t>E. 3.1</w:t>
      </w:r>
    </w:p>
    <w:p>
      <w:r>
        <w:t>Aux termes de l’art. 334 al. 1 CPC (Code de procédure civile suisse du 19 décembre 2010, RS 272), si le dispositif de la décision est peu clair, contradictoire ou incomplet ou qu’il ne correspond pas à la motivation, le tribunal procède, sur requête ou d’office, à l’interprétation ou à la rectification de la décision. Le tribunal notifie la requête de rectification à la partie adverse pour qu'elle se détermine, sauf si la demande est manifestement irrecevable ou infondée. En cas d'erreurs d'écriture ou de calcul, le tribunal peut toutefois renoncer à demander aux parties de se déterminer (art. 334 al. 2).</w:t>
      </w:r>
    </w:p>
    <w:p>
      <w:r>
        <w:rPr>
          <w:b/>
        </w:rPr>
        <w:t>E. 3.2</w:t>
      </w:r>
    </w:p>
    <w:p>
      <w:r>
        <w:t>En l’espèce, les débours de Me Jeanne Clerc auraient dû être fixés forfaitairement à 2% du défraiement hors taxe en deuxième instance judiciaire, de sorte que l’indemnité à verser à Me Jeanne Clerc doit être</w:t>
      </w:r>
    </w:p>
    <w:p>
      <w:r>
        <w:t>- 3 - arrêtée à 3'690 fr., montant auquel s’ajoutent le forfait vacation par 120 fr., les débours par 76 fr. 20 et la TVA sur le tout par 299 fr. 25, soit au total à 4'185 fr. 45, arrondis à 4'186 francs. Il y a ainsi lieu de rectifier le chiffre V du dispositif en remplaçant le montant de 4'103 fr. 40 alloués par 4'186 francs. En revanche, il n’y a pas lieu de revenir sur la durée de préparation de l’audience, évaluée indépendamment du fait que la requérante avait été contrainte d’écourter la plaidoirie prévue.</w:t>
      </w:r>
    </w:p>
    <w:p>
      <w:r>
        <w:rPr>
          <w:b/>
        </w:rPr>
        <w:t>E. 4</w:t>
      </w:r>
    </w:p>
    <w:p>
      <w:r>
        <w:t>La rectification pour laquelle la juge de céans est entrée en matière corrigeant exclusivement un point du litige qui ne concerne pas la partie adverse, l’arrêt rectificatif peut être rendu sans que S.________ ne soit interpellé (art. 334 al. 2 CPC).</w:t>
      </w:r>
    </w:p>
    <w:p>
      <w:r>
        <w:rPr>
          <w:b/>
        </w:rPr>
        <w:t>E. 5</w:t>
      </w:r>
    </w:p>
    <w:p>
      <w:r>
        <w:t>Conformément à l’art. 107 al. 2 CPC, le présent prononcé rectificatif sera rendu sans frais. Par ces motifs, la juge déléguée de la Cour d’appel civile prononce : I. L’arrêt rendu le 1er juillet 2019 par la juge déléguée de céans est rectifié comme il suit : V. L’indemnité de Me Jeanne Clerc, conseil d’office de l’intimée G.________, est arrêtée à 4'186 fr. (quatre mille cent huitante-six francs), débours et TVA compris. II. Le présent prononcé est rendu sans frais.</w:t>
      </w:r>
    </w:p>
    <w:p>
      <w:r>
        <w:t>- 4 - La juge déléguée : La greffière : Du Le présent arrêt, dont la rédaction a été approuvée à huis clos, est notifié en expédition complète à : - Me Jeanne Clerc (pour G.________), - Mes Vivian Kühnlein et Justine Ayer (pour S.________),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